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038E" w14:textId="42ACEB5F" w:rsidR="004362FF" w:rsidRDefault="00AF1802" w:rsidP="00AF1802">
      <w:pPr>
        <w:jc w:val="center"/>
        <w:rPr>
          <w:b/>
          <w:bCs/>
          <w:sz w:val="28"/>
          <w:szCs w:val="28"/>
        </w:rPr>
      </w:pPr>
      <w:r w:rsidRPr="00AF1802">
        <w:rPr>
          <w:b/>
          <w:bCs/>
          <w:sz w:val="28"/>
          <w:szCs w:val="28"/>
        </w:rPr>
        <w:t>Elementi i kriteriji vrednovanja u nastavi matematike</w:t>
      </w:r>
    </w:p>
    <w:p w14:paraId="7ECE7CD7" w14:textId="7102A5E9" w:rsidR="00AF1802" w:rsidRDefault="00AF1802" w:rsidP="00AF1802"/>
    <w:p w14:paraId="0DA3C61F" w14:textId="3E424176" w:rsidR="00AF1802" w:rsidRDefault="00AF1802" w:rsidP="00AF1802">
      <w:pPr>
        <w:rPr>
          <w:b/>
          <w:bCs/>
          <w:sz w:val="24"/>
          <w:szCs w:val="24"/>
        </w:rPr>
      </w:pPr>
      <w:r w:rsidRPr="00AF1802">
        <w:rPr>
          <w:b/>
          <w:bCs/>
          <w:sz w:val="24"/>
          <w:szCs w:val="24"/>
        </w:rPr>
        <w:t>Elementi vrednovanja:</w:t>
      </w:r>
    </w:p>
    <w:p w14:paraId="0ED61D52" w14:textId="77777777" w:rsidR="006669B6" w:rsidRPr="00AF1802" w:rsidRDefault="006669B6" w:rsidP="00AF1802">
      <w:pPr>
        <w:rPr>
          <w:b/>
          <w:bCs/>
          <w:sz w:val="24"/>
          <w:szCs w:val="24"/>
        </w:rPr>
      </w:pPr>
    </w:p>
    <w:p w14:paraId="1CE47032" w14:textId="77777777" w:rsidR="00AF1802" w:rsidRPr="00AF1802" w:rsidRDefault="00AF1802" w:rsidP="00AF1802">
      <w:pPr>
        <w:rPr>
          <w:b/>
          <w:bCs/>
          <w:i/>
          <w:iCs/>
        </w:rPr>
      </w:pPr>
      <w:r w:rsidRPr="00AF1802">
        <w:rPr>
          <w:b/>
          <w:bCs/>
          <w:i/>
          <w:iCs/>
        </w:rPr>
        <w:t>1. Usvojenost znanja i vještina</w:t>
      </w:r>
    </w:p>
    <w:p w14:paraId="5A98B689" w14:textId="77777777" w:rsidR="00AF1802" w:rsidRDefault="00AF1802" w:rsidP="00AF1802">
      <w:r>
        <w:t xml:space="preserve"> – opisuje matematičke pojmove </w:t>
      </w:r>
    </w:p>
    <w:p w14:paraId="18D7BF58" w14:textId="77777777" w:rsidR="00AF1802" w:rsidRDefault="00AF1802" w:rsidP="00AF1802">
      <w:r>
        <w:t xml:space="preserve">– odabire pogodne i matematički ispravne procedure te ih provodi </w:t>
      </w:r>
    </w:p>
    <w:p w14:paraId="17BE9CA5" w14:textId="77777777" w:rsidR="00AF1802" w:rsidRDefault="00AF1802" w:rsidP="00AF1802">
      <w:r>
        <w:t xml:space="preserve">– provjerava ispravnost matematičkih postupaka i utvrđuje smislenost rezultata </w:t>
      </w:r>
    </w:p>
    <w:p w14:paraId="3EDB682E" w14:textId="472F87EA" w:rsidR="00AF1802" w:rsidRDefault="00AF1802" w:rsidP="00AF1802">
      <w:r>
        <w:t>– upotrebljava i povezuje matematičke koncepte</w:t>
      </w:r>
    </w:p>
    <w:p w14:paraId="057DED89" w14:textId="77777777" w:rsidR="006669B6" w:rsidRDefault="006669B6" w:rsidP="00AF1802"/>
    <w:p w14:paraId="679849DC" w14:textId="77777777" w:rsidR="00AF1802" w:rsidRPr="00AF1802" w:rsidRDefault="00AF1802" w:rsidP="00AF1802">
      <w:pPr>
        <w:rPr>
          <w:b/>
          <w:bCs/>
          <w:i/>
          <w:iCs/>
        </w:rPr>
      </w:pPr>
      <w:r w:rsidRPr="00AF1802">
        <w:rPr>
          <w:b/>
          <w:bCs/>
          <w:i/>
          <w:iCs/>
        </w:rPr>
        <w:t xml:space="preserve">2. Matematička komunikacija </w:t>
      </w:r>
    </w:p>
    <w:p w14:paraId="05A9CD3A" w14:textId="77777777" w:rsidR="00AF1802" w:rsidRDefault="00AF1802" w:rsidP="00AF1802">
      <w:r>
        <w:t xml:space="preserve">– koristi se odgovarajućim matematičkim jezikom (standardni matematički simboli, zapisi i terminologija) pri usmenome i pisanom izražavanju </w:t>
      </w:r>
    </w:p>
    <w:p w14:paraId="62446031" w14:textId="77777777" w:rsidR="00AF1802" w:rsidRDefault="00AF1802" w:rsidP="00AF1802">
      <w:r>
        <w:t xml:space="preserve">– koristi se odgovarajućim matematičkim prikazima za predstavljanje podataka </w:t>
      </w:r>
    </w:p>
    <w:p w14:paraId="34D4A0CB" w14:textId="77777777" w:rsidR="00AF1802" w:rsidRDefault="00AF1802" w:rsidP="00AF1802">
      <w:r>
        <w:t xml:space="preserve">– prelazi između različitih matematičkih prikaza </w:t>
      </w:r>
    </w:p>
    <w:p w14:paraId="3839DF0C" w14:textId="77777777" w:rsidR="00AF1802" w:rsidRDefault="00AF1802" w:rsidP="00AF1802">
      <w:r>
        <w:t xml:space="preserve">– svoje razmišljanje iznosi cjelovitim, suvislim i sažetim matematičkim rečenicama </w:t>
      </w:r>
    </w:p>
    <w:p w14:paraId="5CE15267" w14:textId="77777777" w:rsidR="00AF1802" w:rsidRDefault="00AF1802" w:rsidP="00AF1802">
      <w:r>
        <w:t xml:space="preserve">– postavlja pitanja i odgovara na pitanja koja nadilaze opseg izvorno postavljenoga pitanja </w:t>
      </w:r>
    </w:p>
    <w:p w14:paraId="1F94AF63" w14:textId="77777777" w:rsidR="00AF1802" w:rsidRDefault="00AF1802" w:rsidP="00AF1802">
      <w:r>
        <w:t xml:space="preserve">– organizira informacije u logičku strukturu </w:t>
      </w:r>
    </w:p>
    <w:p w14:paraId="02389265" w14:textId="4B0E45DC" w:rsidR="00AF1802" w:rsidRDefault="00AF1802" w:rsidP="00AF1802">
      <w:r>
        <w:t>– primjereno se koristi tehnologijom</w:t>
      </w:r>
    </w:p>
    <w:p w14:paraId="7D9ADF63" w14:textId="77777777" w:rsidR="006669B6" w:rsidRDefault="006669B6" w:rsidP="00AF1802"/>
    <w:p w14:paraId="03A4BA5D" w14:textId="77777777" w:rsidR="00AF1802" w:rsidRPr="00AF1802" w:rsidRDefault="00AF1802" w:rsidP="00AF1802">
      <w:pPr>
        <w:rPr>
          <w:b/>
          <w:bCs/>
          <w:i/>
          <w:iCs/>
        </w:rPr>
      </w:pPr>
      <w:r w:rsidRPr="00AF1802">
        <w:rPr>
          <w:b/>
          <w:bCs/>
          <w:i/>
          <w:iCs/>
        </w:rPr>
        <w:t xml:space="preserve">3. Rješavanje problema </w:t>
      </w:r>
    </w:p>
    <w:p w14:paraId="261CCA37" w14:textId="77777777" w:rsidR="00AF1802" w:rsidRDefault="00AF1802" w:rsidP="00AF1802">
      <w:r>
        <w:t xml:space="preserve">– prepoznaje relevantne elemente problema i naslućuje metode rješavanja </w:t>
      </w:r>
    </w:p>
    <w:p w14:paraId="71C95AD6" w14:textId="77777777" w:rsidR="00AF1802" w:rsidRDefault="00AF1802" w:rsidP="00AF1802">
      <w:r>
        <w:t xml:space="preserve">– uspješno primjenjuje odabranu matematičku metodu pri rješavanju problema </w:t>
      </w:r>
    </w:p>
    <w:p w14:paraId="4C5AB6FA" w14:textId="77777777" w:rsidR="00AF1802" w:rsidRDefault="00AF1802" w:rsidP="00AF1802">
      <w:r>
        <w:t xml:space="preserve">— modelira matematičkim zakonitostima problemske situacije uz raspravu </w:t>
      </w:r>
    </w:p>
    <w:p w14:paraId="2AA4B267" w14:textId="77777777" w:rsidR="00AF1802" w:rsidRDefault="00AF1802" w:rsidP="00AF1802">
      <w:r>
        <w:t xml:space="preserve">– ispravno rješava probleme u različitim kontekstima </w:t>
      </w:r>
    </w:p>
    <w:p w14:paraId="06B96A7D" w14:textId="77777777" w:rsidR="00AF1802" w:rsidRDefault="00AF1802" w:rsidP="00AF1802">
      <w:r>
        <w:t xml:space="preserve">– provjerava ispravnost matematičkih postupaka i utvrđuje smislenost rješenja problema </w:t>
      </w:r>
    </w:p>
    <w:p w14:paraId="4F54CC76" w14:textId="6C8B5C28" w:rsidR="00AF1802" w:rsidRDefault="00AF1802" w:rsidP="00AF1802">
      <w:r>
        <w:t>– generalizira rješenje</w:t>
      </w:r>
    </w:p>
    <w:p w14:paraId="395B4B44" w14:textId="77777777" w:rsidR="00A02525" w:rsidRDefault="00A02525" w:rsidP="00AF1802"/>
    <w:p w14:paraId="60DFE462" w14:textId="77777777" w:rsidR="006669B6" w:rsidRDefault="006669B6" w:rsidP="006669B6">
      <w:r>
        <w:t xml:space="preserve">Elementi su odraz ciljeva predmeta i vrednuju se u postocima, u 2. ciklusu u omjeru 40 : 30 : 30, a u višim ciklusima u omjeru 30 : 30 : 40. </w:t>
      </w:r>
    </w:p>
    <w:p w14:paraId="1B7DA75E" w14:textId="3978CA55" w:rsidR="00AF1802" w:rsidRDefault="00AF1802" w:rsidP="00AF1802"/>
    <w:p w14:paraId="6050EDB8" w14:textId="77777777" w:rsidR="006669B6" w:rsidRPr="00787835" w:rsidRDefault="006669B6" w:rsidP="006669B6">
      <w:pPr>
        <w:rPr>
          <w:i/>
          <w:iCs/>
        </w:rPr>
      </w:pPr>
      <w:r w:rsidRPr="00787835">
        <w:rPr>
          <w:b/>
          <w:bCs/>
          <w:i/>
          <w:iCs/>
        </w:rPr>
        <w:lastRenderedPageBreak/>
        <w:t>Preporučeni pristupi te metode i tehnike vrednovanja odgojno-obrazovnih ishoda u predmetu</w:t>
      </w:r>
      <w:r w:rsidRPr="00787835">
        <w:rPr>
          <w:i/>
          <w:iCs/>
        </w:rPr>
        <w:t xml:space="preserve"> </w:t>
      </w:r>
    </w:p>
    <w:p w14:paraId="3270916C" w14:textId="4F21D764" w:rsidR="006669B6" w:rsidRDefault="006669B6" w:rsidP="006669B6">
      <w:r w:rsidRPr="006669B6">
        <w:rPr>
          <w:i/>
          <w:iCs/>
        </w:rPr>
        <w:t>Vrednovanje za učenje</w:t>
      </w:r>
      <w:r>
        <w:t xml:space="preserve"> i </w:t>
      </w:r>
      <w:r w:rsidRPr="006669B6">
        <w:rPr>
          <w:i/>
          <w:iCs/>
        </w:rPr>
        <w:t>vrednovanje kao učenje</w:t>
      </w:r>
      <w:r>
        <w:t xml:space="preserve"> provodi se prikupljanjem podataka o učenikovu radu i postignućima (ciljana pitanja, radovi skupina, domaće zadaće, kratke pisane provjere, prezentacije...) i kritičkim osvrtom učenika i učitelja na proces učenja i poučavanja. Učenika se skupnim raspravama na satu i individualnim konzultacijama potiče na </w:t>
      </w:r>
      <w:proofErr w:type="spellStart"/>
      <w:r>
        <w:t>samovrednovanje</w:t>
      </w:r>
      <w:proofErr w:type="spellEnd"/>
      <w:r>
        <w:t xml:space="preserve"> postignuća i planiranje učenja. Ti oblici vrednovanja iskazuju se opisno i služe kao jasna povratna informacija učeniku i roditelju o razini usvojenosti ishoda u odnosu na očekivanja. </w:t>
      </w:r>
    </w:p>
    <w:p w14:paraId="669CF616" w14:textId="77777777" w:rsidR="006669B6" w:rsidRDefault="006669B6" w:rsidP="006669B6">
      <w:r w:rsidRPr="006669B6">
        <w:rPr>
          <w:i/>
          <w:iCs/>
        </w:rPr>
        <w:t>Vrednovanje naučenoga</w:t>
      </w:r>
      <w:r>
        <w:t xml:space="preserve"> rezultira brojčanom ocjenom, a usvojenost se ishoda provjerava usmenim ispitivanjem (do 10 minuta), pismenim provjerama i matematičkim/interdisciplinarnim projektima. </w:t>
      </w:r>
    </w:p>
    <w:p w14:paraId="2387A657" w14:textId="74480FA7" w:rsidR="006669B6" w:rsidRDefault="006669B6" w:rsidP="006669B6">
      <w:r>
        <w:t xml:space="preserve">U jednoj provjeri moguće je ocijeniti više elemenata vrednovanja. </w:t>
      </w:r>
    </w:p>
    <w:p w14:paraId="61C7E443" w14:textId="585BEF79" w:rsidR="00192E4A" w:rsidRDefault="00192E4A" w:rsidP="006669B6"/>
    <w:p w14:paraId="5B192ECF" w14:textId="70259676" w:rsidR="00787835" w:rsidRPr="00787835" w:rsidRDefault="00787835" w:rsidP="006669B6">
      <w:pPr>
        <w:rPr>
          <w:b/>
          <w:bCs/>
          <w:i/>
          <w:iCs/>
        </w:rPr>
      </w:pPr>
      <w:r>
        <w:rPr>
          <w:b/>
          <w:bCs/>
          <w:i/>
          <w:iCs/>
        </w:rPr>
        <w:t>Kriteriji vrednovanja</w:t>
      </w:r>
    </w:p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843"/>
        <w:gridCol w:w="1842"/>
        <w:gridCol w:w="1843"/>
        <w:gridCol w:w="1843"/>
      </w:tblGrid>
      <w:tr w:rsidR="00E14953" w14:paraId="30047FB5" w14:textId="77777777" w:rsidTr="00787835">
        <w:tc>
          <w:tcPr>
            <w:tcW w:w="1135" w:type="dxa"/>
            <w:vAlign w:val="center"/>
          </w:tcPr>
          <w:p w14:paraId="43CC5B5F" w14:textId="77777777" w:rsidR="00E14953" w:rsidRDefault="00E14953" w:rsidP="006669B6"/>
        </w:tc>
        <w:tc>
          <w:tcPr>
            <w:tcW w:w="1842" w:type="dxa"/>
            <w:vAlign w:val="center"/>
          </w:tcPr>
          <w:p w14:paraId="6AE0F0CF" w14:textId="0BFD5FEB" w:rsidR="00E14953" w:rsidRDefault="00787835" w:rsidP="00E14953">
            <w:pPr>
              <w:jc w:val="center"/>
            </w:pPr>
            <w:r>
              <w:t>odličan</w:t>
            </w:r>
            <w:r w:rsidR="00E14953">
              <w:t xml:space="preserve"> </w:t>
            </w:r>
          </w:p>
          <w:p w14:paraId="11DA21C2" w14:textId="75E57873" w:rsidR="00E14953" w:rsidRDefault="00787835" w:rsidP="00E14953">
            <w:pPr>
              <w:jc w:val="center"/>
            </w:pPr>
            <w:r>
              <w:t>(</w:t>
            </w:r>
            <w:r w:rsidR="00E14953">
              <w:t>5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D5FC2E6" w14:textId="7529EF8F" w:rsidR="00E14953" w:rsidRDefault="00787835" w:rsidP="00E14953">
            <w:pPr>
              <w:jc w:val="center"/>
            </w:pPr>
            <w:r>
              <w:t>vrlo</w:t>
            </w:r>
            <w:r w:rsidR="00E14953">
              <w:t xml:space="preserve"> dobar </w:t>
            </w:r>
          </w:p>
          <w:p w14:paraId="784DC592" w14:textId="7088A5D5" w:rsidR="00E14953" w:rsidRDefault="00787835" w:rsidP="00E14953">
            <w:pPr>
              <w:jc w:val="center"/>
            </w:pPr>
            <w:r>
              <w:t>(</w:t>
            </w:r>
            <w:r w:rsidR="00E14953">
              <w:t>4</w:t>
            </w:r>
            <w:r>
              <w:t>)</w:t>
            </w:r>
          </w:p>
        </w:tc>
        <w:tc>
          <w:tcPr>
            <w:tcW w:w="1842" w:type="dxa"/>
            <w:vAlign w:val="center"/>
          </w:tcPr>
          <w:p w14:paraId="3989E77E" w14:textId="54264AEC" w:rsidR="00E14953" w:rsidRDefault="00787835" w:rsidP="00E14953">
            <w:pPr>
              <w:jc w:val="center"/>
            </w:pPr>
            <w:r>
              <w:t>dobar</w:t>
            </w:r>
            <w:r w:rsidR="00E14953">
              <w:t xml:space="preserve"> </w:t>
            </w:r>
          </w:p>
          <w:p w14:paraId="5AA177C9" w14:textId="7C8B1C38" w:rsidR="00E14953" w:rsidRDefault="00787835" w:rsidP="00E14953">
            <w:pPr>
              <w:jc w:val="center"/>
            </w:pPr>
            <w:r>
              <w:t>(</w:t>
            </w:r>
            <w:r w:rsidR="00E14953">
              <w:t>3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672D1C65" w14:textId="304690CB" w:rsidR="00E14953" w:rsidRDefault="00787835" w:rsidP="00E14953">
            <w:pPr>
              <w:jc w:val="center"/>
            </w:pPr>
            <w:r>
              <w:t>dovoljan</w:t>
            </w:r>
            <w:r w:rsidR="00E14953">
              <w:t xml:space="preserve"> </w:t>
            </w:r>
          </w:p>
          <w:p w14:paraId="7F7D3CB2" w14:textId="7E484C53" w:rsidR="00E14953" w:rsidRDefault="00787835" w:rsidP="00E14953">
            <w:pPr>
              <w:jc w:val="center"/>
            </w:pPr>
            <w:r>
              <w:t>(</w:t>
            </w:r>
            <w:r w:rsidR="00E14953">
              <w:t>2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4F70BDF0" w14:textId="5177FF36" w:rsidR="00E14953" w:rsidRDefault="00787835" w:rsidP="00E14953">
            <w:pPr>
              <w:jc w:val="center"/>
            </w:pPr>
            <w:r>
              <w:t>nedovoljan</w:t>
            </w:r>
            <w:r w:rsidR="00E14953">
              <w:t xml:space="preserve"> </w:t>
            </w:r>
          </w:p>
          <w:p w14:paraId="028E8156" w14:textId="76DD3986" w:rsidR="00E14953" w:rsidRDefault="00787835" w:rsidP="00E14953">
            <w:pPr>
              <w:jc w:val="center"/>
            </w:pPr>
            <w:r>
              <w:t>(</w:t>
            </w:r>
            <w:r w:rsidR="00E14953">
              <w:t>1</w:t>
            </w:r>
            <w:r>
              <w:t>)</w:t>
            </w:r>
            <w:r w:rsidR="00E14953">
              <w:t xml:space="preserve"> </w:t>
            </w:r>
          </w:p>
        </w:tc>
      </w:tr>
      <w:tr w:rsidR="00787835" w14:paraId="3A71C379" w14:textId="77777777" w:rsidTr="00787835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37A416D4" w14:textId="224251C2" w:rsidR="00787835" w:rsidRPr="00787835" w:rsidRDefault="00787835" w:rsidP="00787835">
            <w:pPr>
              <w:ind w:left="113" w:right="113"/>
              <w:jc w:val="center"/>
              <w:rPr>
                <w:b/>
                <w:bCs/>
              </w:rPr>
            </w:pPr>
            <w:r w:rsidRPr="00787835">
              <w:rPr>
                <w:b/>
                <w:bCs/>
              </w:rPr>
              <w:t>Usvojenost znanja i vještina</w:t>
            </w:r>
          </w:p>
        </w:tc>
        <w:tc>
          <w:tcPr>
            <w:tcW w:w="1842" w:type="dxa"/>
          </w:tcPr>
          <w:p w14:paraId="2D0C85DA" w14:textId="2D825CFA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predviđene činjenice i svi predviđeni koncepti</w:t>
            </w:r>
          </w:p>
        </w:tc>
        <w:tc>
          <w:tcPr>
            <w:tcW w:w="1843" w:type="dxa"/>
            <w:vAlign w:val="center"/>
          </w:tcPr>
          <w:p w14:paraId="5477D6EF" w14:textId="38ABE4E8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bitne činjenice i većina temeljnih koncepata</w:t>
            </w:r>
          </w:p>
        </w:tc>
        <w:tc>
          <w:tcPr>
            <w:tcW w:w="1842" w:type="dxa"/>
            <w:vAlign w:val="center"/>
          </w:tcPr>
          <w:p w14:paraId="147D6764" w14:textId="45BEF016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 i neki od predviđenih koncepata</w:t>
            </w:r>
          </w:p>
        </w:tc>
        <w:tc>
          <w:tcPr>
            <w:tcW w:w="1843" w:type="dxa"/>
            <w:vAlign w:val="center"/>
          </w:tcPr>
          <w:p w14:paraId="29F435A1" w14:textId="7C08D8B2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činjenice, ali nisu usvojeni temeljni koncepti</w:t>
            </w:r>
          </w:p>
        </w:tc>
        <w:tc>
          <w:tcPr>
            <w:tcW w:w="1843" w:type="dxa"/>
            <w:vAlign w:val="center"/>
          </w:tcPr>
          <w:p w14:paraId="18BA3436" w14:textId="3F4E4261" w:rsidR="00787835" w:rsidRDefault="00787835" w:rsidP="00787835">
            <w:r>
              <w:t>nisu usvojene temeljne činjenice ni koncepti</w:t>
            </w:r>
          </w:p>
        </w:tc>
      </w:tr>
      <w:tr w:rsidR="00787835" w14:paraId="5EF3AD88" w14:textId="77777777" w:rsidTr="00787835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3964DA37" w14:textId="638374B9" w:rsidR="00787835" w:rsidRPr="00787835" w:rsidRDefault="00787835" w:rsidP="0078783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87835">
              <w:rPr>
                <w:b/>
                <w:bCs/>
              </w:rPr>
              <w:t>Matematička komunikacija</w:t>
            </w:r>
          </w:p>
        </w:tc>
        <w:tc>
          <w:tcPr>
            <w:tcW w:w="1842" w:type="dxa"/>
            <w:vAlign w:val="center"/>
          </w:tcPr>
          <w:p w14:paraId="6D1440FA" w14:textId="5BF211F9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 jednostavnim i složenim praktičnim zadatcima</w:t>
            </w:r>
          </w:p>
        </w:tc>
        <w:tc>
          <w:tcPr>
            <w:tcW w:w="1843" w:type="dxa"/>
            <w:vAlign w:val="center"/>
          </w:tcPr>
          <w:p w14:paraId="3D0D9E39" w14:textId="451C1A54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1842" w:type="dxa"/>
            <w:vAlign w:val="center"/>
          </w:tcPr>
          <w:p w14:paraId="4E7BBDA8" w14:textId="3051048C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primjenjuje elemente matematičk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e</w:t>
            </w: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 xml:space="preserve"> komunikacij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e</w:t>
            </w: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 xml:space="preserve"> pri obavljanju jednostavnih praktičnih zadataka</w:t>
            </w:r>
          </w:p>
        </w:tc>
        <w:tc>
          <w:tcPr>
            <w:tcW w:w="1843" w:type="dxa"/>
            <w:vAlign w:val="center"/>
          </w:tcPr>
          <w:p w14:paraId="7C27C4C6" w14:textId="2B46967E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uz pomoć nastavnika primjenjuje elemente matematičke komunikacije</w:t>
            </w:r>
          </w:p>
        </w:tc>
        <w:tc>
          <w:tcPr>
            <w:tcW w:w="1843" w:type="dxa"/>
            <w:vAlign w:val="center"/>
          </w:tcPr>
          <w:p w14:paraId="1CB4CB9B" w14:textId="6C893AE5" w:rsidR="00787835" w:rsidRDefault="00787835" w:rsidP="00787835">
            <w:r>
              <w:t>ni uz pomoć nastavnika ne može primijeniti elemente matematičke komunikacije</w:t>
            </w:r>
          </w:p>
        </w:tc>
      </w:tr>
      <w:tr w:rsidR="00787835" w14:paraId="60F4C287" w14:textId="77777777" w:rsidTr="00787835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45552B66" w14:textId="50B85888" w:rsidR="00787835" w:rsidRPr="00787835" w:rsidRDefault="00787835" w:rsidP="00787835">
            <w:pPr>
              <w:ind w:left="113" w:right="113"/>
              <w:jc w:val="center"/>
              <w:rPr>
                <w:b/>
                <w:bCs/>
              </w:rPr>
            </w:pPr>
            <w:r w:rsidRPr="00787835">
              <w:rPr>
                <w:b/>
                <w:bCs/>
              </w:rPr>
              <w:t>Rješavanje problema</w:t>
            </w:r>
          </w:p>
        </w:tc>
        <w:tc>
          <w:tcPr>
            <w:tcW w:w="1842" w:type="dxa"/>
            <w:vAlign w:val="center"/>
          </w:tcPr>
          <w:p w14:paraId="6F6EBE98" w14:textId="301F074B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i složene probleme</w:t>
            </w:r>
          </w:p>
        </w:tc>
        <w:tc>
          <w:tcPr>
            <w:tcW w:w="1843" w:type="dxa"/>
            <w:vAlign w:val="center"/>
          </w:tcPr>
          <w:p w14:paraId="0692C58F" w14:textId="22C1ACA9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1842" w:type="dxa"/>
            <w:vAlign w:val="center"/>
          </w:tcPr>
          <w:p w14:paraId="47B1A7A3" w14:textId="6D0A0FD8" w:rsidR="00787835" w:rsidRDefault="00787835" w:rsidP="00787835"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 ali složene probleme ne rješava ni uz pomoć nastavnika</w:t>
            </w:r>
          </w:p>
        </w:tc>
        <w:tc>
          <w:tcPr>
            <w:tcW w:w="1843" w:type="dxa"/>
            <w:vAlign w:val="center"/>
          </w:tcPr>
          <w:p w14:paraId="0578E3E5" w14:textId="4E32CA82" w:rsidR="00787835" w:rsidRPr="00787835" w:rsidRDefault="00787835" w:rsidP="00787835">
            <w:pPr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rješava jednostavne probleme uz pomoć nastavnika</w:t>
            </w:r>
          </w:p>
        </w:tc>
        <w:tc>
          <w:tcPr>
            <w:tcW w:w="1843" w:type="dxa"/>
            <w:vAlign w:val="center"/>
          </w:tcPr>
          <w:p w14:paraId="09CB8D34" w14:textId="3D664B29" w:rsidR="00787835" w:rsidRDefault="00787835" w:rsidP="00787835">
            <w:r>
              <w:t>ni uz pomoć nastavnika ne ože riješiti jednostavniji problem</w:t>
            </w:r>
          </w:p>
        </w:tc>
      </w:tr>
    </w:tbl>
    <w:p w14:paraId="5059CDAA" w14:textId="298777AF" w:rsidR="00192E4A" w:rsidRDefault="00192E4A" w:rsidP="006669B6">
      <w:r>
        <w:t xml:space="preserve"> </w:t>
      </w:r>
    </w:p>
    <w:p w14:paraId="42E4732F" w14:textId="185E2FF3" w:rsidR="006669B6" w:rsidRDefault="006669B6" w:rsidP="00AF1802"/>
    <w:p w14:paraId="70623EC3" w14:textId="360ECFB9" w:rsidR="00787835" w:rsidRDefault="00787835" w:rsidP="00AF1802"/>
    <w:p w14:paraId="7143C897" w14:textId="507347A2" w:rsidR="00787835" w:rsidRDefault="00787835" w:rsidP="00AF1802"/>
    <w:p w14:paraId="718FF893" w14:textId="3B4020BB" w:rsidR="00787835" w:rsidRDefault="00787835" w:rsidP="00AF1802"/>
    <w:p w14:paraId="26346D31" w14:textId="77777777" w:rsidR="00787835" w:rsidRDefault="00787835" w:rsidP="00AF1802"/>
    <w:p w14:paraId="4359AB0A" w14:textId="3E85A2AF" w:rsidR="00787835" w:rsidRDefault="00787835" w:rsidP="00AF1802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Pisane provjere (postotak riješenosti)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787835" w14:paraId="2813702E" w14:textId="77777777" w:rsidTr="00787835">
        <w:trPr>
          <w:trHeight w:val="454"/>
        </w:trPr>
        <w:tc>
          <w:tcPr>
            <w:tcW w:w="2122" w:type="dxa"/>
            <w:vAlign w:val="center"/>
          </w:tcPr>
          <w:p w14:paraId="6B871621" w14:textId="6033190F" w:rsidR="00787835" w:rsidRDefault="00787835" w:rsidP="00AF1802">
            <w:r>
              <w:t>odličan (5)</w:t>
            </w:r>
          </w:p>
        </w:tc>
        <w:tc>
          <w:tcPr>
            <w:tcW w:w="2551" w:type="dxa"/>
            <w:vAlign w:val="center"/>
          </w:tcPr>
          <w:p w14:paraId="3868D07F" w14:textId="0776F4FB" w:rsidR="00787835" w:rsidRDefault="00787835" w:rsidP="00AF1802">
            <w:r>
              <w:t>90 % - 100%</w:t>
            </w:r>
          </w:p>
        </w:tc>
      </w:tr>
      <w:tr w:rsidR="00787835" w14:paraId="2980409E" w14:textId="77777777" w:rsidTr="00787835">
        <w:trPr>
          <w:trHeight w:val="454"/>
        </w:trPr>
        <w:tc>
          <w:tcPr>
            <w:tcW w:w="2122" w:type="dxa"/>
            <w:vAlign w:val="center"/>
          </w:tcPr>
          <w:p w14:paraId="0CC35899" w14:textId="16C67415" w:rsidR="00787835" w:rsidRDefault="00787835" w:rsidP="00AF1802">
            <w:r>
              <w:t>vrlo dobar (4)</w:t>
            </w:r>
          </w:p>
        </w:tc>
        <w:tc>
          <w:tcPr>
            <w:tcW w:w="2551" w:type="dxa"/>
            <w:vAlign w:val="center"/>
          </w:tcPr>
          <w:p w14:paraId="3D2AAECA" w14:textId="614D9704" w:rsidR="00787835" w:rsidRDefault="00787835" w:rsidP="00AF1802">
            <w:r>
              <w:t>7</w:t>
            </w:r>
            <w:r w:rsidR="00A02525">
              <w:t>5</w:t>
            </w:r>
            <w:r>
              <w:t xml:space="preserve"> % - 89 % </w:t>
            </w:r>
          </w:p>
        </w:tc>
      </w:tr>
      <w:tr w:rsidR="00787835" w14:paraId="474445F4" w14:textId="77777777" w:rsidTr="00787835">
        <w:trPr>
          <w:trHeight w:val="454"/>
        </w:trPr>
        <w:tc>
          <w:tcPr>
            <w:tcW w:w="2122" w:type="dxa"/>
            <w:vAlign w:val="center"/>
          </w:tcPr>
          <w:p w14:paraId="383BC0F2" w14:textId="49DD52EF" w:rsidR="00787835" w:rsidRDefault="00787835" w:rsidP="00AF1802">
            <w:r>
              <w:t>dobar (3)</w:t>
            </w:r>
          </w:p>
        </w:tc>
        <w:tc>
          <w:tcPr>
            <w:tcW w:w="2551" w:type="dxa"/>
            <w:vAlign w:val="center"/>
          </w:tcPr>
          <w:p w14:paraId="6765CBB1" w14:textId="5C7D5D2B" w:rsidR="00787835" w:rsidRDefault="00787835" w:rsidP="00AF1802">
            <w:r>
              <w:t>6</w:t>
            </w:r>
            <w:r w:rsidR="00A02525">
              <w:t>0</w:t>
            </w:r>
            <w:r>
              <w:t xml:space="preserve"> % - 7</w:t>
            </w:r>
            <w:r w:rsidR="00A02525">
              <w:t>4</w:t>
            </w:r>
            <w:r>
              <w:t xml:space="preserve"> %</w:t>
            </w:r>
          </w:p>
        </w:tc>
      </w:tr>
      <w:tr w:rsidR="00787835" w14:paraId="79EC4055" w14:textId="77777777" w:rsidTr="00787835">
        <w:trPr>
          <w:trHeight w:val="454"/>
        </w:trPr>
        <w:tc>
          <w:tcPr>
            <w:tcW w:w="2122" w:type="dxa"/>
            <w:vAlign w:val="center"/>
          </w:tcPr>
          <w:p w14:paraId="213C76C3" w14:textId="482B863F" w:rsidR="00787835" w:rsidRDefault="00787835" w:rsidP="00AF1802">
            <w:r>
              <w:t>dovoljan (2)</w:t>
            </w:r>
          </w:p>
        </w:tc>
        <w:tc>
          <w:tcPr>
            <w:tcW w:w="2551" w:type="dxa"/>
            <w:vAlign w:val="center"/>
          </w:tcPr>
          <w:p w14:paraId="27A4D781" w14:textId="6566B44E" w:rsidR="00787835" w:rsidRDefault="00787835" w:rsidP="00AF1802">
            <w:r>
              <w:t>4</w:t>
            </w:r>
            <w:r w:rsidR="00A02525">
              <w:t>5</w:t>
            </w:r>
            <w:r>
              <w:t xml:space="preserve"> % - </w:t>
            </w:r>
            <w:r w:rsidR="00A02525">
              <w:t>59</w:t>
            </w:r>
            <w:r>
              <w:t xml:space="preserve"> %</w:t>
            </w:r>
          </w:p>
        </w:tc>
      </w:tr>
      <w:tr w:rsidR="00787835" w14:paraId="647B02B7" w14:textId="77777777" w:rsidTr="00787835">
        <w:trPr>
          <w:trHeight w:val="454"/>
        </w:trPr>
        <w:tc>
          <w:tcPr>
            <w:tcW w:w="2122" w:type="dxa"/>
            <w:vAlign w:val="center"/>
          </w:tcPr>
          <w:p w14:paraId="776D003A" w14:textId="096B9152" w:rsidR="00787835" w:rsidRDefault="00787835" w:rsidP="00AF1802">
            <w:r>
              <w:t>nedovoljan (1)</w:t>
            </w:r>
          </w:p>
        </w:tc>
        <w:tc>
          <w:tcPr>
            <w:tcW w:w="2551" w:type="dxa"/>
            <w:vAlign w:val="center"/>
          </w:tcPr>
          <w:p w14:paraId="2BAE9AF2" w14:textId="3F294C47" w:rsidR="00787835" w:rsidRDefault="00787835" w:rsidP="00AF1802">
            <w:r>
              <w:t>0 % - 4</w:t>
            </w:r>
            <w:r w:rsidR="00A02525">
              <w:t>4</w:t>
            </w:r>
            <w:r>
              <w:t>%</w:t>
            </w:r>
          </w:p>
        </w:tc>
      </w:tr>
    </w:tbl>
    <w:p w14:paraId="27BEE70C" w14:textId="77777777" w:rsidR="00787835" w:rsidRPr="00787835" w:rsidRDefault="00787835" w:rsidP="00AF1802"/>
    <w:p w14:paraId="3E669AE5" w14:textId="77777777" w:rsidR="00787835" w:rsidRDefault="00787835" w:rsidP="00787835">
      <w:r w:rsidRPr="00787835">
        <w:t> </w:t>
      </w:r>
    </w:p>
    <w:p w14:paraId="2518A0F3" w14:textId="7CA89149" w:rsidR="00787835" w:rsidRPr="00787835" w:rsidRDefault="00787835" w:rsidP="00787835">
      <w:pPr>
        <w:jc w:val="both"/>
      </w:pPr>
      <w:r>
        <w:rPr>
          <w:b/>
          <w:bCs/>
          <w:i/>
          <w:iCs/>
        </w:rPr>
        <w:t xml:space="preserve">Zaključivanje ocjena </w:t>
      </w:r>
      <w:r w:rsidRPr="00787835">
        <w:t xml:space="preserve">na kraju nastavne godine provodi se prema Pravilniku o načinima, postupcima i elementima vrednovanja učenika u osnovnoj i srednjoj školi. </w:t>
      </w:r>
    </w:p>
    <w:p w14:paraId="1060F605" w14:textId="69DA8B96" w:rsidR="00787835" w:rsidRDefault="00787835" w:rsidP="00787835">
      <w:r w:rsidRPr="00787835">
        <w:t>Zaključna je ocjena iz nastavnoga predmeta izraz postignute razine učenikovih kompetencija ostvarenosti odgojno-obrazovnih ishoda u nastavnome predmetu/području i rezultat ukupnoga procesa vrednovanja tijekom nastavne godine, a izvodi se temeljem elemenata vrednovanja.</w:t>
      </w:r>
    </w:p>
    <w:p w14:paraId="0029F341" w14:textId="77777777" w:rsidR="00787835" w:rsidRPr="00787835" w:rsidRDefault="00787835" w:rsidP="00787835">
      <w:pPr>
        <w:spacing w:after="0" w:line="240" w:lineRule="auto"/>
      </w:pPr>
    </w:p>
    <w:p w14:paraId="72CAD1BD" w14:textId="1AF251C1" w:rsidR="00787835" w:rsidRPr="00787835" w:rsidRDefault="00787835" w:rsidP="00787835">
      <w:pPr>
        <w:spacing w:after="0" w:line="240" w:lineRule="auto"/>
      </w:pPr>
      <w:r w:rsidRPr="00787835">
        <w:t>Zaključna ocjena iz nastavnoga predmeta na kraju nastavne godine ne mora proizlaziti iz aritmetičke sredine upisanih ocjena, osobito ako je učenik pokazao napredak u drugom polugodištu.</w:t>
      </w:r>
    </w:p>
    <w:p w14:paraId="72DCACE9" w14:textId="331E56C4" w:rsidR="00787835" w:rsidRDefault="00787835" w:rsidP="00787835"/>
    <w:p w14:paraId="2DF369DB" w14:textId="6E30C96D" w:rsidR="00436DBD" w:rsidRDefault="00436DBD" w:rsidP="00787835"/>
    <w:p w14:paraId="60AC56C1" w14:textId="4E890334" w:rsidR="00436DBD" w:rsidRDefault="00436DBD" w:rsidP="00787835"/>
    <w:p w14:paraId="794CBA9A" w14:textId="1E93DEC5" w:rsidR="00436DBD" w:rsidRDefault="00436DBD" w:rsidP="00787835">
      <w:r>
        <w:t>Nastavnici matematike:</w:t>
      </w:r>
    </w:p>
    <w:p w14:paraId="29D5FE24" w14:textId="67278BFB" w:rsidR="00436DBD" w:rsidRDefault="00436DBD" w:rsidP="00787835">
      <w:r>
        <w:t>Rajna Franjo</w:t>
      </w:r>
    </w:p>
    <w:p w14:paraId="73321A23" w14:textId="1F0C68FD" w:rsidR="00436DBD" w:rsidRDefault="00436DBD" w:rsidP="00787835">
      <w:pPr>
        <w:spacing w:after="0" w:line="240" w:lineRule="auto"/>
      </w:pPr>
      <w:r>
        <w:t>Ivan Piskač</w:t>
      </w:r>
    </w:p>
    <w:p w14:paraId="328AB8E0" w14:textId="77777777" w:rsidR="00787835" w:rsidRPr="00787835" w:rsidRDefault="00787835" w:rsidP="00787835">
      <w:pPr>
        <w:spacing w:after="0" w:line="240" w:lineRule="auto"/>
      </w:pPr>
    </w:p>
    <w:sectPr w:rsidR="00787835" w:rsidRPr="007878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BE6" w14:textId="77777777" w:rsidR="00051794" w:rsidRDefault="00051794" w:rsidP="00AF1802">
      <w:pPr>
        <w:spacing w:after="0" w:line="240" w:lineRule="auto"/>
      </w:pPr>
      <w:r>
        <w:separator/>
      </w:r>
    </w:p>
  </w:endnote>
  <w:endnote w:type="continuationSeparator" w:id="0">
    <w:p w14:paraId="3C9FB8FC" w14:textId="77777777" w:rsidR="00051794" w:rsidRDefault="00051794" w:rsidP="00AF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altName w:val="Calibri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9CB2" w14:textId="77777777" w:rsidR="00051794" w:rsidRDefault="00051794" w:rsidP="00AF1802">
      <w:pPr>
        <w:spacing w:after="0" w:line="240" w:lineRule="auto"/>
      </w:pPr>
      <w:r>
        <w:separator/>
      </w:r>
    </w:p>
  </w:footnote>
  <w:footnote w:type="continuationSeparator" w:id="0">
    <w:p w14:paraId="020C1ED2" w14:textId="77777777" w:rsidR="00051794" w:rsidRDefault="00051794" w:rsidP="00AF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1870" w14:textId="7442FBF9" w:rsidR="00AF1802" w:rsidRDefault="00AF1802">
    <w:pPr>
      <w:pStyle w:val="Zaglavlje"/>
    </w:pPr>
    <w:r>
      <w:t>Osnovna škola „Đuro Ester“ Koprivnica“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6"/>
    <w:rsid w:val="00051794"/>
    <w:rsid w:val="00192E4A"/>
    <w:rsid w:val="003254C6"/>
    <w:rsid w:val="004362FF"/>
    <w:rsid w:val="00436DBD"/>
    <w:rsid w:val="006669B6"/>
    <w:rsid w:val="00787835"/>
    <w:rsid w:val="00A02525"/>
    <w:rsid w:val="00AF1802"/>
    <w:rsid w:val="00E14953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32D"/>
  <w15:chartTrackingRefBased/>
  <w15:docId w15:val="{78087973-59F1-4397-8F02-045C918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802"/>
  </w:style>
  <w:style w:type="paragraph" w:styleId="Podnoje">
    <w:name w:val="footer"/>
    <w:basedOn w:val="Normal"/>
    <w:link w:val="PodnojeChar"/>
    <w:uiPriority w:val="99"/>
    <w:unhideWhenUsed/>
    <w:rsid w:val="00AF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802"/>
  </w:style>
  <w:style w:type="paragraph" w:styleId="Odlomakpopisa">
    <w:name w:val="List Paragraph"/>
    <w:basedOn w:val="Normal"/>
    <w:uiPriority w:val="34"/>
    <w:qFormat/>
    <w:rsid w:val="00AF1802"/>
    <w:pPr>
      <w:ind w:left="720"/>
      <w:contextualSpacing/>
    </w:pPr>
  </w:style>
  <w:style w:type="table" w:styleId="Reetkatablice">
    <w:name w:val="Table Grid"/>
    <w:basedOn w:val="Obinatablica"/>
    <w:uiPriority w:val="39"/>
    <w:rsid w:val="00E1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8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Rajna Franjo</cp:lastModifiedBy>
  <cp:revision>10</cp:revision>
  <dcterms:created xsi:type="dcterms:W3CDTF">2023-04-11T17:10:00Z</dcterms:created>
  <dcterms:modified xsi:type="dcterms:W3CDTF">2023-04-17T10:15:00Z</dcterms:modified>
</cp:coreProperties>
</file>