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5190" w14:textId="6E944A6F" w:rsidR="00CB47D8" w:rsidRPr="00CB47D8" w:rsidRDefault="00CB47D8" w:rsidP="00CB47D8">
      <w:pPr>
        <w:rPr>
          <w:sz w:val="22"/>
          <w:szCs w:val="22"/>
        </w:rPr>
      </w:pPr>
      <w:r w:rsidRPr="00CB47D8">
        <w:rPr>
          <w:b/>
          <w:bCs/>
          <w:sz w:val="22"/>
          <w:szCs w:val="22"/>
        </w:rPr>
        <w:t>OSNOVNA ŠKOLA „ĐURO ESTER“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Šifra grada/</w:t>
      </w:r>
      <w:proofErr w:type="spellStart"/>
      <w:r>
        <w:rPr>
          <w:sz w:val="22"/>
          <w:szCs w:val="22"/>
        </w:rPr>
        <w:t>opć</w:t>
      </w:r>
      <w:proofErr w:type="spellEnd"/>
      <w:r>
        <w:rPr>
          <w:sz w:val="22"/>
          <w:szCs w:val="22"/>
        </w:rPr>
        <w:t>.: 201</w:t>
      </w:r>
    </w:p>
    <w:p w14:paraId="2375795F" w14:textId="6C9EC4CD" w:rsidR="00CB47D8" w:rsidRPr="00CB47D8" w:rsidRDefault="00CB47D8" w:rsidP="00CB47D8">
      <w:pPr>
        <w:rPr>
          <w:b/>
          <w:bCs/>
          <w:sz w:val="22"/>
          <w:szCs w:val="22"/>
        </w:rPr>
      </w:pPr>
      <w:r w:rsidRPr="00CB47D8">
        <w:rPr>
          <w:b/>
          <w:bCs/>
          <w:sz w:val="22"/>
          <w:szCs w:val="22"/>
        </w:rPr>
        <w:t>TRG SLOBODE 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Broj RKP-a: 08512</w:t>
      </w:r>
      <w:r>
        <w:rPr>
          <w:b/>
          <w:bCs/>
          <w:sz w:val="22"/>
          <w:szCs w:val="22"/>
        </w:rPr>
        <w:tab/>
      </w:r>
    </w:p>
    <w:p w14:paraId="635A88F3" w14:textId="2F1A9609" w:rsidR="00CB47D8" w:rsidRPr="00CB47D8" w:rsidRDefault="00CB47D8" w:rsidP="00CB47D8">
      <w:pPr>
        <w:rPr>
          <w:b/>
          <w:bCs/>
          <w:sz w:val="22"/>
          <w:szCs w:val="22"/>
        </w:rPr>
      </w:pPr>
      <w:r w:rsidRPr="00CB47D8">
        <w:rPr>
          <w:b/>
          <w:bCs/>
          <w:sz w:val="22"/>
          <w:szCs w:val="22"/>
        </w:rPr>
        <w:t>48000 KOPRIVNICA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CB47D8">
        <w:rPr>
          <w:sz w:val="22"/>
          <w:szCs w:val="22"/>
        </w:rPr>
        <w:t>Razina: 31</w:t>
      </w:r>
    </w:p>
    <w:p w14:paraId="2317F575" w14:textId="7DA7A6F6" w:rsidR="00CB47D8" w:rsidRPr="00CB47D8" w:rsidRDefault="00CB47D8" w:rsidP="00CB47D8">
      <w:pPr>
        <w:rPr>
          <w:sz w:val="22"/>
          <w:szCs w:val="22"/>
        </w:rPr>
      </w:pPr>
      <w:r w:rsidRPr="00CB47D8">
        <w:rPr>
          <w:b/>
          <w:bCs/>
          <w:sz w:val="22"/>
          <w:szCs w:val="22"/>
        </w:rPr>
        <w:t>MB: 02017148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Razdjel: 000</w:t>
      </w:r>
    </w:p>
    <w:p w14:paraId="49AFDADF" w14:textId="25FE045C" w:rsidR="00CB47D8" w:rsidRPr="00CB47D8" w:rsidRDefault="00CB47D8" w:rsidP="00CB47D8">
      <w:pPr>
        <w:rPr>
          <w:b/>
          <w:bCs/>
          <w:sz w:val="22"/>
          <w:szCs w:val="22"/>
        </w:rPr>
      </w:pPr>
      <w:r w:rsidRPr="00CB47D8">
        <w:rPr>
          <w:b/>
          <w:bCs/>
          <w:sz w:val="22"/>
          <w:szCs w:val="22"/>
        </w:rPr>
        <w:t>OIB: 41521296406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CB47D8">
        <w:rPr>
          <w:sz w:val="22"/>
          <w:szCs w:val="22"/>
        </w:rPr>
        <w:t>Šifra djelatnosti:</w:t>
      </w:r>
      <w:r>
        <w:rPr>
          <w:sz w:val="22"/>
          <w:szCs w:val="22"/>
        </w:rPr>
        <w:t xml:space="preserve"> 8520</w:t>
      </w:r>
    </w:p>
    <w:p w14:paraId="1F30B69F" w14:textId="77777777" w:rsidR="0004014A" w:rsidRDefault="0004014A">
      <w:pPr>
        <w:rPr>
          <w:rFonts w:ascii="Tahoma" w:hAnsi="Tahoma" w:cs="Tahoma"/>
          <w:sz w:val="16"/>
          <w:szCs w:val="16"/>
        </w:rPr>
      </w:pPr>
    </w:p>
    <w:p w14:paraId="2ADAB87F" w14:textId="77777777" w:rsidR="0004014A" w:rsidRPr="00A83881" w:rsidRDefault="0004014A">
      <w:pPr>
        <w:rPr>
          <w:rFonts w:ascii="Tahoma" w:hAnsi="Tahoma" w:cs="Tahoma"/>
          <w:sz w:val="16"/>
          <w:szCs w:val="16"/>
        </w:rPr>
      </w:pPr>
    </w:p>
    <w:p w14:paraId="23E4A599" w14:textId="77777777" w:rsidR="0004014A" w:rsidRPr="00A83881" w:rsidRDefault="0004014A">
      <w:pPr>
        <w:rPr>
          <w:rFonts w:ascii="Tahoma" w:hAnsi="Tahoma" w:cs="Tahoma"/>
          <w:sz w:val="16"/>
          <w:szCs w:val="16"/>
        </w:rPr>
      </w:pPr>
    </w:p>
    <w:p w14:paraId="2D77051F" w14:textId="77777777" w:rsidR="00CB47D8" w:rsidRDefault="0004014A" w:rsidP="00CB47D8">
      <w:pPr>
        <w:jc w:val="center"/>
        <w:rPr>
          <w:rStyle w:val="Istaknuto"/>
          <w:i w:val="0"/>
        </w:rPr>
      </w:pPr>
      <w:r w:rsidRPr="00935D20">
        <w:rPr>
          <w:rStyle w:val="Istaknuto"/>
          <w:i w:val="0"/>
        </w:rPr>
        <w:t>B</w:t>
      </w:r>
      <w:r w:rsidR="00CB47D8">
        <w:rPr>
          <w:rStyle w:val="Istaknuto"/>
          <w:i w:val="0"/>
        </w:rPr>
        <w:t xml:space="preserve"> </w:t>
      </w:r>
      <w:r w:rsidRPr="00935D20">
        <w:rPr>
          <w:rStyle w:val="Istaknuto"/>
          <w:i w:val="0"/>
        </w:rPr>
        <w:t>I</w:t>
      </w:r>
      <w:r w:rsidR="00CB47D8">
        <w:rPr>
          <w:rStyle w:val="Istaknuto"/>
          <w:i w:val="0"/>
        </w:rPr>
        <w:t xml:space="preserve"> </w:t>
      </w:r>
      <w:r w:rsidRPr="00935D20">
        <w:rPr>
          <w:rStyle w:val="Istaknuto"/>
          <w:i w:val="0"/>
        </w:rPr>
        <w:t>LJ</w:t>
      </w:r>
      <w:r w:rsidR="00CB47D8">
        <w:rPr>
          <w:rStyle w:val="Istaknuto"/>
          <w:i w:val="0"/>
        </w:rPr>
        <w:t xml:space="preserve"> </w:t>
      </w:r>
      <w:r w:rsidRPr="00935D20">
        <w:rPr>
          <w:rStyle w:val="Istaknuto"/>
          <w:i w:val="0"/>
        </w:rPr>
        <w:t>E</w:t>
      </w:r>
      <w:r w:rsidR="00CB47D8">
        <w:rPr>
          <w:rStyle w:val="Istaknuto"/>
          <w:i w:val="0"/>
        </w:rPr>
        <w:t xml:space="preserve"> </w:t>
      </w:r>
      <w:r w:rsidRPr="00935D20">
        <w:rPr>
          <w:rStyle w:val="Istaknuto"/>
          <w:i w:val="0"/>
        </w:rPr>
        <w:t>Š</w:t>
      </w:r>
      <w:r w:rsidR="00CB47D8">
        <w:rPr>
          <w:rStyle w:val="Istaknuto"/>
          <w:i w:val="0"/>
        </w:rPr>
        <w:t xml:space="preserve"> </w:t>
      </w:r>
      <w:r w:rsidRPr="00935D20">
        <w:rPr>
          <w:rStyle w:val="Istaknuto"/>
          <w:i w:val="0"/>
        </w:rPr>
        <w:t>K</w:t>
      </w:r>
      <w:r w:rsidR="00CB47D8">
        <w:rPr>
          <w:rStyle w:val="Istaknuto"/>
          <w:i w:val="0"/>
        </w:rPr>
        <w:t xml:space="preserve"> </w:t>
      </w:r>
      <w:r w:rsidRPr="00935D20">
        <w:rPr>
          <w:rStyle w:val="Istaknuto"/>
          <w:i w:val="0"/>
        </w:rPr>
        <w:t>E</w:t>
      </w:r>
    </w:p>
    <w:p w14:paraId="550DCB41" w14:textId="77777777" w:rsidR="00CB47D8" w:rsidRDefault="0004014A" w:rsidP="00CB47D8">
      <w:pPr>
        <w:jc w:val="center"/>
        <w:rPr>
          <w:rStyle w:val="Istaknuto"/>
          <w:i w:val="0"/>
        </w:rPr>
      </w:pPr>
      <w:r w:rsidRPr="00935D20">
        <w:rPr>
          <w:rStyle w:val="Istaknuto"/>
          <w:i w:val="0"/>
        </w:rPr>
        <w:t xml:space="preserve"> UZ </w:t>
      </w:r>
      <w:r w:rsidR="00CB47D8">
        <w:rPr>
          <w:rStyle w:val="Istaknuto"/>
          <w:i w:val="0"/>
        </w:rPr>
        <w:t xml:space="preserve">FINANCIJSKA IZVJEŠĆA </w:t>
      </w:r>
    </w:p>
    <w:p w14:paraId="5A6DA1E7" w14:textId="1EEE27B3" w:rsidR="0004014A" w:rsidRPr="00935D20" w:rsidRDefault="00CB47D8" w:rsidP="00CB47D8">
      <w:pPr>
        <w:jc w:val="center"/>
        <w:rPr>
          <w:iCs/>
        </w:rPr>
      </w:pPr>
      <w:r>
        <w:rPr>
          <w:rStyle w:val="Istaknuto"/>
          <w:i w:val="0"/>
        </w:rPr>
        <w:t>ZA RAZDOBLJE 01. siječnja – 31.prosinca 202</w:t>
      </w:r>
      <w:r w:rsidR="000E71B2">
        <w:rPr>
          <w:rStyle w:val="Istaknuto"/>
          <w:i w:val="0"/>
        </w:rPr>
        <w:t>2</w:t>
      </w:r>
      <w:r>
        <w:rPr>
          <w:rStyle w:val="Istaknuto"/>
          <w:i w:val="0"/>
        </w:rPr>
        <w:t>.</w:t>
      </w:r>
    </w:p>
    <w:p w14:paraId="3AE8F655" w14:textId="3AE3159F" w:rsidR="0004014A" w:rsidRDefault="0004014A">
      <w:r w:rsidRPr="00935D20">
        <w:tab/>
      </w:r>
    </w:p>
    <w:p w14:paraId="34C13E1E" w14:textId="7478D811" w:rsidR="00CB47D8" w:rsidRDefault="00CB47D8"/>
    <w:p w14:paraId="2C7C2B6A" w14:textId="0E0983DC" w:rsidR="00656AEE" w:rsidRDefault="00CB47D8" w:rsidP="00656AEE">
      <w:pPr>
        <w:jc w:val="both"/>
      </w:pPr>
      <w:r>
        <w:tab/>
      </w:r>
      <w:r w:rsidR="00656AEE">
        <w:t xml:space="preserve">Osnovna škola „Đuro Ester“, Koprivnica (u daljnjem tekstu: Škola) je javna ustanova koja obavlja djelatnost osnovnog odgoja i obrazovanja djece i mladeži. </w:t>
      </w:r>
      <w:r w:rsidR="00656AEE" w:rsidRPr="00656AEE">
        <w:t>Nastava, redovna, izborna, dodatna i dopunska izvodi se prema nastavnim planovima i programima, koje je donijelo Ministarstvo znanosti</w:t>
      </w:r>
      <w:r w:rsidR="00C33499">
        <w:t xml:space="preserve"> i</w:t>
      </w:r>
      <w:r w:rsidR="00656AEE" w:rsidRPr="00656AEE">
        <w:t xml:space="preserve"> obrazovanja i operativnom Godišnjem izvedbenom odgojno obrazovanom planu i programu rada. </w:t>
      </w:r>
    </w:p>
    <w:p w14:paraId="69546E02" w14:textId="12F03589" w:rsidR="00656AEE" w:rsidRDefault="00656AEE" w:rsidP="00656AEE">
      <w:pPr>
        <w:jc w:val="both"/>
      </w:pPr>
      <w:r>
        <w:tab/>
        <w:t>Osnivač škole je Grad Koprivnica na temelju</w:t>
      </w:r>
      <w:r w:rsidR="001B2911">
        <w:t xml:space="preserve"> Odluke Gradskog vijeća Grada Koprivnice</w:t>
      </w:r>
      <w:r w:rsidR="00C33499">
        <w:t>. Odgovorna osoba škole je ravnateljica mr. Sanja Prelogović.</w:t>
      </w:r>
    </w:p>
    <w:p w14:paraId="6925C160" w14:textId="24427F52" w:rsidR="00C33499" w:rsidRDefault="00C33499" w:rsidP="00656AEE">
      <w:pPr>
        <w:jc w:val="both"/>
      </w:pPr>
      <w:r>
        <w:tab/>
        <w:t>Škola nije obveznik PDV-a temeljem članka 39. stavak 1. točka i) Zakona o PDV-u.</w:t>
      </w:r>
    </w:p>
    <w:p w14:paraId="261B2942" w14:textId="7B0A92DA" w:rsidR="00C33499" w:rsidRDefault="00C33499" w:rsidP="00656AEE">
      <w:pPr>
        <w:jc w:val="both"/>
      </w:pPr>
    </w:p>
    <w:p w14:paraId="5FB0B924" w14:textId="4517649D" w:rsidR="00C33499" w:rsidRDefault="00C33499" w:rsidP="00C33499">
      <w:pPr>
        <w:ind w:firstLine="708"/>
        <w:jc w:val="both"/>
      </w:pPr>
      <w:r>
        <w:t xml:space="preserve">Za sastavljanje Bilješki uz financijska izvješća odgovorna je Mirjana Kolarek, voditeljica računovodstva. </w:t>
      </w:r>
    </w:p>
    <w:p w14:paraId="2D7BC296" w14:textId="4D025E31" w:rsidR="00C33499" w:rsidRDefault="00C33499" w:rsidP="00C33499">
      <w:pPr>
        <w:ind w:firstLine="708"/>
        <w:jc w:val="both"/>
      </w:pPr>
      <w:r>
        <w:t>Financijsko izvješće usvaja Školski odbor na prijedlog ravnateljice.</w:t>
      </w:r>
    </w:p>
    <w:p w14:paraId="48C0BF28" w14:textId="1E144552" w:rsidR="00C33499" w:rsidRDefault="00C33499" w:rsidP="00656AEE">
      <w:pPr>
        <w:jc w:val="both"/>
      </w:pPr>
    </w:p>
    <w:p w14:paraId="0AB42FB0" w14:textId="3D961EB2" w:rsidR="00C33499" w:rsidRDefault="00C33499" w:rsidP="00656AEE">
      <w:pPr>
        <w:jc w:val="both"/>
      </w:pPr>
    </w:p>
    <w:p w14:paraId="43246F80" w14:textId="4A8F521F" w:rsidR="00C33499" w:rsidRPr="00C33499" w:rsidRDefault="00C33499" w:rsidP="00656AEE">
      <w:pPr>
        <w:jc w:val="both"/>
      </w:pPr>
      <w:r>
        <w:rPr>
          <w:b/>
          <w:bCs/>
          <w:u w:val="single"/>
        </w:rPr>
        <w:t>BILJEŠKE UZ PR-RAS</w:t>
      </w:r>
    </w:p>
    <w:p w14:paraId="5B05F5D7" w14:textId="5507C86F" w:rsidR="00CB47D8" w:rsidRPr="00935D20" w:rsidRDefault="00CB47D8"/>
    <w:p w14:paraId="163EE56F" w14:textId="77777777" w:rsidR="0004014A" w:rsidRPr="00935D20" w:rsidRDefault="0004014A">
      <w:pPr>
        <w:rPr>
          <w:rStyle w:val="Istaknuto"/>
          <w:i w:val="0"/>
        </w:rPr>
      </w:pPr>
      <w:r w:rsidRPr="00935D20">
        <w:rPr>
          <w:rStyle w:val="Istaknuto"/>
          <w:i w:val="0"/>
        </w:rPr>
        <w:t>Bilješka broj 1</w:t>
      </w:r>
    </w:p>
    <w:p w14:paraId="05F4A2E7" w14:textId="77777777" w:rsidR="0004014A" w:rsidRPr="00935D20" w:rsidRDefault="0004014A"/>
    <w:p w14:paraId="151A27A6" w14:textId="77777777" w:rsidR="0004014A" w:rsidRDefault="0004014A">
      <w:r w:rsidRPr="00E83BE3">
        <w:rPr>
          <w:b/>
          <w:bCs/>
          <w:u w:val="single"/>
        </w:rPr>
        <w:t>PRIHODI POSLOVANJA</w:t>
      </w:r>
      <w:r w:rsidRPr="00935D20">
        <w:t xml:space="preserve"> AOP 00</w:t>
      </w:r>
      <w:r w:rsidR="00935D20">
        <w:t xml:space="preserve">1 </w:t>
      </w:r>
    </w:p>
    <w:p w14:paraId="276FD9D5" w14:textId="77777777" w:rsidR="00935D20" w:rsidRDefault="00935D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0"/>
        <w:gridCol w:w="2891"/>
      </w:tblGrid>
      <w:tr w:rsidR="00935D20" w14:paraId="2DDD4EB5" w14:textId="77777777" w:rsidTr="004E7767">
        <w:tc>
          <w:tcPr>
            <w:tcW w:w="6170" w:type="dxa"/>
            <w:shd w:val="clear" w:color="auto" w:fill="auto"/>
          </w:tcPr>
          <w:p w14:paraId="090481A5" w14:textId="77777777" w:rsidR="00935D20" w:rsidRDefault="00935D20">
            <w:r>
              <w:t>Opći prihodi i primici - školstvo</w:t>
            </w:r>
          </w:p>
        </w:tc>
        <w:tc>
          <w:tcPr>
            <w:tcW w:w="2891" w:type="dxa"/>
            <w:shd w:val="clear" w:color="auto" w:fill="auto"/>
          </w:tcPr>
          <w:p w14:paraId="0B662D76" w14:textId="29D92FB2" w:rsidR="000E71B2" w:rsidRPr="005C17E7" w:rsidRDefault="00412B63" w:rsidP="000E71B2">
            <w:pPr>
              <w:jc w:val="center"/>
            </w:pPr>
            <w:r>
              <w:t>2.014.223,29</w:t>
            </w:r>
          </w:p>
          <w:p w14:paraId="463E3A97" w14:textId="77777777" w:rsidR="00825C9D" w:rsidRDefault="00825C9D" w:rsidP="004E7767">
            <w:pPr>
              <w:jc w:val="center"/>
            </w:pPr>
          </w:p>
          <w:p w14:paraId="0CEE5270" w14:textId="3CA2A26E" w:rsidR="00F974AC" w:rsidRPr="005C17E7" w:rsidRDefault="00F974AC" w:rsidP="004E7767">
            <w:pPr>
              <w:jc w:val="center"/>
            </w:pPr>
          </w:p>
        </w:tc>
      </w:tr>
      <w:tr w:rsidR="00935D20" w14:paraId="5EEA2189" w14:textId="77777777" w:rsidTr="0052432E">
        <w:trPr>
          <w:trHeight w:val="471"/>
        </w:trPr>
        <w:tc>
          <w:tcPr>
            <w:tcW w:w="6170" w:type="dxa"/>
            <w:shd w:val="clear" w:color="auto" w:fill="auto"/>
          </w:tcPr>
          <w:p w14:paraId="1E213C30" w14:textId="0FA314C1" w:rsidR="00935D20" w:rsidRDefault="002547D7">
            <w:r>
              <w:t>Prihod za posebne namjene</w:t>
            </w:r>
            <w:r w:rsidR="00935D20">
              <w:t xml:space="preserve"> (školska kuhinja, osiguranje učenika, majice s logom škole, testovi</w:t>
            </w:r>
            <w:r w:rsidR="00531F93">
              <w:t>…</w:t>
            </w:r>
            <w:r w:rsidR="00935D20">
              <w:t>)</w:t>
            </w:r>
          </w:p>
        </w:tc>
        <w:tc>
          <w:tcPr>
            <w:tcW w:w="2891" w:type="dxa"/>
            <w:shd w:val="clear" w:color="auto" w:fill="auto"/>
          </w:tcPr>
          <w:p w14:paraId="7C0ECD62" w14:textId="7C3EA976" w:rsidR="00935D20" w:rsidRDefault="00531F93" w:rsidP="005D1110">
            <w:pPr>
              <w:jc w:val="center"/>
            </w:pPr>
            <w:r>
              <w:t>608.526,63</w:t>
            </w:r>
          </w:p>
        </w:tc>
      </w:tr>
      <w:tr w:rsidR="00935D20" w14:paraId="070D67BE" w14:textId="77777777" w:rsidTr="004E7767">
        <w:tc>
          <w:tcPr>
            <w:tcW w:w="6170" w:type="dxa"/>
            <w:shd w:val="clear" w:color="auto" w:fill="auto"/>
          </w:tcPr>
          <w:p w14:paraId="57156533" w14:textId="0EDC029B" w:rsidR="00935D20" w:rsidRDefault="00C92295">
            <w:r>
              <w:t>Prihod od prodaje starog papira</w:t>
            </w:r>
            <w:r w:rsidR="00531F93">
              <w:t>, učeničke zadruge „Đurđica“</w:t>
            </w:r>
            <w:r w:rsidR="00E87A0C">
              <w:t xml:space="preserve"> i ostali nes</w:t>
            </w:r>
            <w:r w:rsidR="00DA27BD">
              <w:t>pomenuti prihodi</w:t>
            </w:r>
          </w:p>
        </w:tc>
        <w:tc>
          <w:tcPr>
            <w:tcW w:w="2891" w:type="dxa"/>
            <w:shd w:val="clear" w:color="auto" w:fill="auto"/>
          </w:tcPr>
          <w:p w14:paraId="6AD84CF6" w14:textId="26880FAE" w:rsidR="00190A8F" w:rsidRDefault="00531F93" w:rsidP="00190A8F">
            <w:pPr>
              <w:jc w:val="center"/>
            </w:pPr>
            <w:r>
              <w:t>12.886,43</w:t>
            </w:r>
          </w:p>
        </w:tc>
      </w:tr>
      <w:tr w:rsidR="00935D20" w14:paraId="4A648A79" w14:textId="77777777" w:rsidTr="004E7767">
        <w:tc>
          <w:tcPr>
            <w:tcW w:w="6170" w:type="dxa"/>
            <w:shd w:val="clear" w:color="auto" w:fill="auto"/>
          </w:tcPr>
          <w:p w14:paraId="528B7249" w14:textId="77777777" w:rsidR="00935D20" w:rsidRDefault="00C92295">
            <w:r>
              <w:t>Prihod županije za županijska natjecanja</w:t>
            </w:r>
          </w:p>
        </w:tc>
        <w:tc>
          <w:tcPr>
            <w:tcW w:w="2891" w:type="dxa"/>
            <w:shd w:val="clear" w:color="auto" w:fill="auto"/>
          </w:tcPr>
          <w:p w14:paraId="4AAC2DC4" w14:textId="19DA4142" w:rsidR="002547D7" w:rsidRDefault="00531F93" w:rsidP="002547D7">
            <w:pPr>
              <w:jc w:val="center"/>
            </w:pPr>
            <w:r>
              <w:t>11.281,50</w:t>
            </w:r>
          </w:p>
        </w:tc>
      </w:tr>
      <w:tr w:rsidR="00935D20" w14:paraId="72320955" w14:textId="77777777" w:rsidTr="004E7767">
        <w:tc>
          <w:tcPr>
            <w:tcW w:w="6170" w:type="dxa"/>
            <w:shd w:val="clear" w:color="auto" w:fill="auto"/>
          </w:tcPr>
          <w:p w14:paraId="0E212EBC" w14:textId="77777777" w:rsidR="00935D20" w:rsidRDefault="00C92295">
            <w:r>
              <w:t>Pomoći iz državnog proračuna za financiranje plaća zaposlenika škole</w:t>
            </w:r>
          </w:p>
        </w:tc>
        <w:tc>
          <w:tcPr>
            <w:tcW w:w="2891" w:type="dxa"/>
            <w:shd w:val="clear" w:color="auto" w:fill="auto"/>
          </w:tcPr>
          <w:p w14:paraId="2A0A8F8E" w14:textId="0BCD1781" w:rsidR="00935D20" w:rsidRDefault="00531F93" w:rsidP="005D1110">
            <w:pPr>
              <w:jc w:val="center"/>
            </w:pPr>
            <w:r>
              <w:t>9.149.125.92</w:t>
            </w:r>
          </w:p>
        </w:tc>
      </w:tr>
      <w:tr w:rsidR="00935D20" w14:paraId="3ADB2B76" w14:textId="77777777" w:rsidTr="004E7767">
        <w:tc>
          <w:tcPr>
            <w:tcW w:w="6170" w:type="dxa"/>
            <w:shd w:val="clear" w:color="auto" w:fill="auto"/>
          </w:tcPr>
          <w:p w14:paraId="049CFE6A" w14:textId="107CC754" w:rsidR="00935D20" w:rsidRDefault="00C92295">
            <w:r>
              <w:t xml:space="preserve">Tekuće pomoći iz državnog proračuna za </w:t>
            </w:r>
            <w:r w:rsidR="00CA2F4E">
              <w:t>nabav</w:t>
            </w:r>
            <w:r w:rsidR="0052432E">
              <w:t>e</w:t>
            </w:r>
            <w:r w:rsidR="00CA2F4E">
              <w:t xml:space="preserve"> </w:t>
            </w:r>
            <w:r w:rsidR="004C438B">
              <w:t>radnih udžbenika</w:t>
            </w:r>
            <w:r w:rsidR="00F35ED0">
              <w:t>, naknade za mentorstvo</w:t>
            </w:r>
            <w:r w:rsidR="0052432E">
              <w:t>, sudske isplate</w:t>
            </w:r>
          </w:p>
        </w:tc>
        <w:tc>
          <w:tcPr>
            <w:tcW w:w="2891" w:type="dxa"/>
            <w:shd w:val="clear" w:color="auto" w:fill="auto"/>
          </w:tcPr>
          <w:p w14:paraId="6E7C15AA" w14:textId="77777777" w:rsidR="00014764" w:rsidRDefault="00014764" w:rsidP="005D1110">
            <w:pPr>
              <w:jc w:val="center"/>
            </w:pPr>
          </w:p>
          <w:p w14:paraId="15D8D7CA" w14:textId="0544A3A2" w:rsidR="00935D20" w:rsidRDefault="00F60B01" w:rsidP="005D1110">
            <w:pPr>
              <w:jc w:val="center"/>
            </w:pPr>
            <w:r>
              <w:t>455.767,64</w:t>
            </w:r>
          </w:p>
        </w:tc>
      </w:tr>
      <w:tr w:rsidR="00935D20" w14:paraId="61332EC4" w14:textId="77777777" w:rsidTr="004E7767">
        <w:tc>
          <w:tcPr>
            <w:tcW w:w="6170" w:type="dxa"/>
            <w:shd w:val="clear" w:color="auto" w:fill="auto"/>
          </w:tcPr>
          <w:p w14:paraId="051F27DC" w14:textId="1456247A" w:rsidR="00935D20" w:rsidRDefault="00CA2F4E">
            <w:r>
              <w:t>Kapitalne donacije</w:t>
            </w:r>
            <w:r w:rsidR="0052432E">
              <w:t xml:space="preserve"> </w:t>
            </w:r>
          </w:p>
        </w:tc>
        <w:tc>
          <w:tcPr>
            <w:tcW w:w="2891" w:type="dxa"/>
            <w:shd w:val="clear" w:color="auto" w:fill="auto"/>
          </w:tcPr>
          <w:p w14:paraId="1748DC2B" w14:textId="2B40127E" w:rsidR="00935D20" w:rsidRDefault="00F60B01" w:rsidP="005D1110">
            <w:pPr>
              <w:jc w:val="center"/>
            </w:pPr>
            <w:r>
              <w:t>880,00</w:t>
            </w:r>
          </w:p>
        </w:tc>
      </w:tr>
      <w:tr w:rsidR="00190A8F" w14:paraId="7F2F2961" w14:textId="77777777" w:rsidTr="004E7767">
        <w:tc>
          <w:tcPr>
            <w:tcW w:w="6170" w:type="dxa"/>
            <w:shd w:val="clear" w:color="auto" w:fill="auto"/>
          </w:tcPr>
          <w:p w14:paraId="03960A8B" w14:textId="673CBA24" w:rsidR="00190A8F" w:rsidRDefault="00190A8F">
            <w:r>
              <w:t>Kapitalne pomoći iz nenadležnog proračuna</w:t>
            </w:r>
            <w:r w:rsidR="0052432E">
              <w:t xml:space="preserve"> (za nabavu udžbenika i lektire za školsku knjižnicu)</w:t>
            </w:r>
          </w:p>
        </w:tc>
        <w:tc>
          <w:tcPr>
            <w:tcW w:w="2891" w:type="dxa"/>
            <w:shd w:val="clear" w:color="auto" w:fill="auto"/>
          </w:tcPr>
          <w:p w14:paraId="2E1F3B35" w14:textId="6A747AB4" w:rsidR="00190A8F" w:rsidRDefault="00F60B01" w:rsidP="00190A8F">
            <w:pPr>
              <w:jc w:val="center"/>
            </w:pPr>
            <w:r>
              <w:t>14.648,65</w:t>
            </w:r>
          </w:p>
        </w:tc>
      </w:tr>
      <w:tr w:rsidR="00935D20" w14:paraId="59CD20B9" w14:textId="77777777" w:rsidTr="004E7767">
        <w:tc>
          <w:tcPr>
            <w:tcW w:w="6170" w:type="dxa"/>
            <w:shd w:val="clear" w:color="auto" w:fill="auto"/>
          </w:tcPr>
          <w:p w14:paraId="4F53793B" w14:textId="77777777" w:rsidR="00935D20" w:rsidRDefault="00CA2F4E">
            <w:r>
              <w:t>Opći prihodi i primici – izvor Grad Koprivnica</w:t>
            </w:r>
          </w:p>
        </w:tc>
        <w:tc>
          <w:tcPr>
            <w:tcW w:w="2891" w:type="dxa"/>
            <w:shd w:val="clear" w:color="auto" w:fill="auto"/>
          </w:tcPr>
          <w:p w14:paraId="505EA42D" w14:textId="4AF375A6" w:rsidR="00A050ED" w:rsidRPr="005C17E7" w:rsidRDefault="00A050ED" w:rsidP="00A050ED">
            <w:pPr>
              <w:jc w:val="center"/>
            </w:pPr>
            <w:r>
              <w:t>555.317,41</w:t>
            </w:r>
          </w:p>
        </w:tc>
      </w:tr>
      <w:tr w:rsidR="00935D20" w14:paraId="14A8A984" w14:textId="77777777" w:rsidTr="004E7767">
        <w:tc>
          <w:tcPr>
            <w:tcW w:w="6170" w:type="dxa"/>
            <w:shd w:val="clear" w:color="auto" w:fill="auto"/>
          </w:tcPr>
          <w:p w14:paraId="2D6D32E6" w14:textId="77777777" w:rsidR="00CE2BB4" w:rsidRDefault="00CA2F4E">
            <w:r>
              <w:t xml:space="preserve">Tekuće pomoći iz </w:t>
            </w:r>
            <w:r w:rsidR="00CE2BB4">
              <w:t>proračuna – nacionalno sufinanciranje</w:t>
            </w:r>
          </w:p>
        </w:tc>
        <w:tc>
          <w:tcPr>
            <w:tcW w:w="2891" w:type="dxa"/>
            <w:shd w:val="clear" w:color="auto" w:fill="auto"/>
          </w:tcPr>
          <w:p w14:paraId="5146654A" w14:textId="492DA43D" w:rsidR="00935D20" w:rsidRPr="005C17E7" w:rsidRDefault="00F60B01" w:rsidP="005D1110">
            <w:pPr>
              <w:jc w:val="center"/>
            </w:pPr>
            <w:r w:rsidRPr="005C17E7">
              <w:t>68.745,97</w:t>
            </w:r>
          </w:p>
        </w:tc>
      </w:tr>
      <w:tr w:rsidR="00CA2F4E" w14:paraId="4A4C814D" w14:textId="77777777" w:rsidTr="004E7767">
        <w:tc>
          <w:tcPr>
            <w:tcW w:w="6170" w:type="dxa"/>
            <w:shd w:val="clear" w:color="auto" w:fill="auto"/>
          </w:tcPr>
          <w:p w14:paraId="257BFA6E" w14:textId="77777777" w:rsidR="00CA2F4E" w:rsidRDefault="00CE2BB4" w:rsidP="00CA2F4E">
            <w:r>
              <w:t>Tekuće donacije</w:t>
            </w:r>
          </w:p>
        </w:tc>
        <w:tc>
          <w:tcPr>
            <w:tcW w:w="2891" w:type="dxa"/>
            <w:shd w:val="clear" w:color="auto" w:fill="auto"/>
          </w:tcPr>
          <w:p w14:paraId="0EC6C77C" w14:textId="5D166EC4" w:rsidR="00CA2F4E" w:rsidRDefault="00F60B01" w:rsidP="00F60B01">
            <w:pPr>
              <w:jc w:val="center"/>
            </w:pPr>
            <w:r>
              <w:t>2.400,00</w:t>
            </w:r>
          </w:p>
          <w:p w14:paraId="204320C2" w14:textId="0474C56E" w:rsidR="00F60B01" w:rsidRDefault="00F60B01" w:rsidP="00F60B01">
            <w:pPr>
              <w:jc w:val="center"/>
            </w:pPr>
          </w:p>
        </w:tc>
      </w:tr>
      <w:tr w:rsidR="00CE2BB4" w14:paraId="6B11D5DB" w14:textId="77777777" w:rsidTr="004E7767">
        <w:tc>
          <w:tcPr>
            <w:tcW w:w="6170" w:type="dxa"/>
            <w:shd w:val="clear" w:color="auto" w:fill="auto"/>
          </w:tcPr>
          <w:p w14:paraId="11918854" w14:textId="2BB7D977" w:rsidR="00CE2BB4" w:rsidRDefault="00CE2BB4" w:rsidP="00CA2F4E">
            <w:r>
              <w:lastRenderedPageBreak/>
              <w:t xml:space="preserve">Tekuće pomoći iz </w:t>
            </w:r>
            <w:proofErr w:type="spellStart"/>
            <w:r>
              <w:t>drž</w:t>
            </w:r>
            <w:proofErr w:type="spellEnd"/>
            <w:r>
              <w:t xml:space="preserve">. </w:t>
            </w:r>
            <w:r w:rsidR="006B2C3C">
              <w:t>p</w:t>
            </w:r>
            <w:r>
              <w:t>roračuna – EU sredstva</w:t>
            </w:r>
          </w:p>
        </w:tc>
        <w:tc>
          <w:tcPr>
            <w:tcW w:w="2891" w:type="dxa"/>
            <w:shd w:val="clear" w:color="auto" w:fill="auto"/>
          </w:tcPr>
          <w:p w14:paraId="1727C088" w14:textId="0C3CDAF7" w:rsidR="00CE2BB4" w:rsidRDefault="00F60B01" w:rsidP="005D1110">
            <w:pPr>
              <w:jc w:val="center"/>
            </w:pPr>
            <w:r>
              <w:t>217.644,64</w:t>
            </w:r>
          </w:p>
        </w:tc>
      </w:tr>
      <w:tr w:rsidR="00F60B01" w14:paraId="4D6C4803" w14:textId="77777777" w:rsidTr="004E7767">
        <w:tc>
          <w:tcPr>
            <w:tcW w:w="6170" w:type="dxa"/>
            <w:shd w:val="clear" w:color="auto" w:fill="auto"/>
          </w:tcPr>
          <w:p w14:paraId="5D8191BB" w14:textId="507ACFA4" w:rsidR="00F60B01" w:rsidRDefault="005C17E7" w:rsidP="00CA2F4E">
            <w:r>
              <w:t xml:space="preserve">Tekuće pomoći iz </w:t>
            </w:r>
            <w:proofErr w:type="spellStart"/>
            <w:r>
              <w:t>drž</w:t>
            </w:r>
            <w:proofErr w:type="spellEnd"/>
            <w:r>
              <w:t>. Proračuna – EU sredstva (ERASMUS)</w:t>
            </w:r>
          </w:p>
        </w:tc>
        <w:tc>
          <w:tcPr>
            <w:tcW w:w="2891" w:type="dxa"/>
            <w:shd w:val="clear" w:color="auto" w:fill="auto"/>
          </w:tcPr>
          <w:p w14:paraId="4EC096F6" w14:textId="2DD4EEC4" w:rsidR="00F60B01" w:rsidRDefault="005C17E7" w:rsidP="005D1110">
            <w:pPr>
              <w:jc w:val="center"/>
            </w:pPr>
            <w:r>
              <w:t>38.940,00</w:t>
            </w:r>
          </w:p>
        </w:tc>
      </w:tr>
      <w:tr w:rsidR="00BB6487" w:rsidRPr="005D1110" w14:paraId="14FFE686" w14:textId="77777777" w:rsidTr="004E7767">
        <w:tc>
          <w:tcPr>
            <w:tcW w:w="6170" w:type="dxa"/>
            <w:shd w:val="clear" w:color="auto" w:fill="auto"/>
          </w:tcPr>
          <w:p w14:paraId="26461218" w14:textId="77777777" w:rsidR="00BB6487" w:rsidRPr="005D1110" w:rsidRDefault="00BB6487" w:rsidP="00CA2F4E">
            <w:pPr>
              <w:rPr>
                <w:b/>
              </w:rPr>
            </w:pPr>
            <w:r w:rsidRPr="005D1110">
              <w:rPr>
                <w:b/>
              </w:rPr>
              <w:t>UKUPNO</w:t>
            </w:r>
          </w:p>
        </w:tc>
        <w:tc>
          <w:tcPr>
            <w:tcW w:w="2891" w:type="dxa"/>
            <w:shd w:val="clear" w:color="auto" w:fill="auto"/>
          </w:tcPr>
          <w:p w14:paraId="07E6FD79" w14:textId="77777777" w:rsidR="00BB6487" w:rsidRDefault="00412B63" w:rsidP="005D1110">
            <w:pPr>
              <w:jc w:val="center"/>
              <w:rPr>
                <w:b/>
              </w:rPr>
            </w:pPr>
            <w:r>
              <w:rPr>
                <w:b/>
              </w:rPr>
              <w:t>13.150.388,08</w:t>
            </w:r>
          </w:p>
          <w:p w14:paraId="6930ECF8" w14:textId="2134F6A6" w:rsidR="000606B9" w:rsidRPr="005D1110" w:rsidRDefault="000606B9" w:rsidP="005D1110">
            <w:pPr>
              <w:jc w:val="center"/>
              <w:rPr>
                <w:b/>
              </w:rPr>
            </w:pPr>
          </w:p>
        </w:tc>
      </w:tr>
    </w:tbl>
    <w:p w14:paraId="383B62E5" w14:textId="77777777" w:rsidR="0004014A" w:rsidRPr="00935D20" w:rsidRDefault="0004014A"/>
    <w:p w14:paraId="594DB837" w14:textId="77777777" w:rsidR="0004014A" w:rsidRPr="00935D20" w:rsidRDefault="0004014A">
      <w:pPr>
        <w:rPr>
          <w:rStyle w:val="Istaknuto"/>
          <w:i w:val="0"/>
        </w:rPr>
      </w:pPr>
      <w:r w:rsidRPr="00935D20">
        <w:rPr>
          <w:rStyle w:val="Istaknuto"/>
          <w:i w:val="0"/>
        </w:rPr>
        <w:t>Bilješka  broj 2</w:t>
      </w:r>
    </w:p>
    <w:p w14:paraId="15A10BB2" w14:textId="77777777" w:rsidR="00BE418D" w:rsidRPr="00935D20" w:rsidRDefault="00BE418D">
      <w:pPr>
        <w:rPr>
          <w:rStyle w:val="Istaknuto"/>
          <w:i w:val="0"/>
        </w:rPr>
      </w:pPr>
    </w:p>
    <w:p w14:paraId="683EC215" w14:textId="07836524" w:rsidR="00845D88" w:rsidRDefault="000606B9" w:rsidP="00F41AF6">
      <w:r>
        <w:t>6361</w:t>
      </w:r>
      <w:r w:rsidR="007339DD">
        <w:t xml:space="preserve"> Tekuće pomoći proračunskim korisnicima iz proračuna koji im nije nadležan </w:t>
      </w:r>
      <w:r>
        <w:t>manje</w:t>
      </w:r>
      <w:r w:rsidR="006C1DBB">
        <w:t xml:space="preserve"> su za </w:t>
      </w:r>
      <w:r>
        <w:t>6,4</w:t>
      </w:r>
      <w:r w:rsidR="00BD4953">
        <w:t xml:space="preserve"> </w:t>
      </w:r>
      <w:r>
        <w:t>% u odnosu na 2021. godinu. Otvaranjem nove osnovne škole u Koprivnici broj razrednih odjela u OŠ „Đuro Ester“ s</w:t>
      </w:r>
      <w:r w:rsidR="0080118C">
        <w:t xml:space="preserve">e prepolovio zbog čega se od kolovoza 2022. godine smanjio i broj zaposlenih. Iz tog razloga ostvareni su manji prihodi za plaće. </w:t>
      </w:r>
    </w:p>
    <w:p w14:paraId="02DDA937" w14:textId="77777777" w:rsidR="00CF30B6" w:rsidRPr="00935D20" w:rsidRDefault="00CF30B6" w:rsidP="00F41AF6"/>
    <w:p w14:paraId="4AA88621" w14:textId="77777777" w:rsidR="0004014A" w:rsidRPr="00935D20" w:rsidRDefault="0004014A" w:rsidP="00F41AF6">
      <w:r w:rsidRPr="00935D20">
        <w:t>Bilješka broj 3</w:t>
      </w:r>
    </w:p>
    <w:p w14:paraId="3E2E8C69" w14:textId="77777777" w:rsidR="0004014A" w:rsidRPr="00935D20" w:rsidRDefault="0004014A" w:rsidP="00F41AF6"/>
    <w:p w14:paraId="55A64D36" w14:textId="06255E2B" w:rsidR="009D4F2E" w:rsidRDefault="0080118C" w:rsidP="00337AEB">
      <w:r>
        <w:t>6362</w:t>
      </w:r>
      <w:r w:rsidR="006C1DBB">
        <w:t xml:space="preserve"> Kapitalne pomoći iz nenadležnog proračuna također bilježi </w:t>
      </w:r>
      <w:r w:rsidR="00CF30B6">
        <w:t xml:space="preserve">pad za </w:t>
      </w:r>
      <w:r>
        <w:t>80,3</w:t>
      </w:r>
      <w:r w:rsidR="00CF30B6">
        <w:t xml:space="preserve">% </w:t>
      </w:r>
      <w:r w:rsidR="00BD4953">
        <w:t>zbog</w:t>
      </w:r>
      <w:r>
        <w:t xml:space="preserve"> nabave udžbenika koja je u 2022. godini bila manja jer se nabavljala samo razlika udžbenika zbog većeg broja učenika ili nadomjestak za uništene udžbenike, te novi udžbenici iz geografije za osmi razred.</w:t>
      </w:r>
    </w:p>
    <w:p w14:paraId="4B74BAF6" w14:textId="10FB3445" w:rsidR="00C06D12" w:rsidRPr="0080118C" w:rsidRDefault="00C06D12" w:rsidP="00337AEB">
      <w:pPr>
        <w:rPr>
          <w:rStyle w:val="Istaknuto"/>
          <w:i w:val="0"/>
          <w:iCs w:val="0"/>
        </w:rPr>
      </w:pPr>
    </w:p>
    <w:p w14:paraId="67ECEF06" w14:textId="3CE9460E" w:rsidR="0004014A" w:rsidRPr="00935D20" w:rsidRDefault="0004014A" w:rsidP="00337AEB">
      <w:pPr>
        <w:rPr>
          <w:rStyle w:val="Istaknuto"/>
          <w:i w:val="0"/>
        </w:rPr>
      </w:pPr>
      <w:r w:rsidRPr="00935D20">
        <w:rPr>
          <w:rStyle w:val="Istaknuto"/>
          <w:i w:val="0"/>
        </w:rPr>
        <w:t>Bilješka broj 4</w:t>
      </w:r>
    </w:p>
    <w:p w14:paraId="079AB44A" w14:textId="5C3160EC" w:rsidR="0004014A" w:rsidRDefault="0004014A" w:rsidP="00337AEB"/>
    <w:p w14:paraId="274963E2" w14:textId="77777777" w:rsidR="00C06D12" w:rsidRDefault="00C06D12" w:rsidP="00337AEB">
      <w:r>
        <w:t>6381 Tekuće pomoći temeljem prijenosa EU sredstava odnosi se na isplatu preostalih 20% odobrenog iznosa za troškove u sklopu projekta Erasmus +.</w:t>
      </w:r>
    </w:p>
    <w:p w14:paraId="49409C51" w14:textId="77777777" w:rsidR="00C06D12" w:rsidRDefault="00C06D12" w:rsidP="00337AEB"/>
    <w:p w14:paraId="69A3030D" w14:textId="77777777" w:rsidR="00C06D12" w:rsidRDefault="00C06D12" w:rsidP="00337AEB">
      <w:r>
        <w:t>Bilješka broj 5</w:t>
      </w:r>
    </w:p>
    <w:p w14:paraId="6D6035C4" w14:textId="6F8F5B00" w:rsidR="00C06D12" w:rsidRPr="00935D20" w:rsidRDefault="00C06D12" w:rsidP="00337AEB">
      <w:r>
        <w:t xml:space="preserve"> </w:t>
      </w:r>
    </w:p>
    <w:p w14:paraId="55033F11" w14:textId="7AA1FE4A" w:rsidR="000D1B1A" w:rsidRPr="00935D20" w:rsidRDefault="00070F64" w:rsidP="000D1B1A">
      <w:r>
        <w:t>6391</w:t>
      </w:r>
      <w:r w:rsidR="00E7016F">
        <w:t xml:space="preserve"> Tekući prijenosi između proračunski</w:t>
      </w:r>
      <w:r>
        <w:t>h korisnika istog proračuna manji su za 22,8% u odnosu na 2021</w:t>
      </w:r>
      <w:r w:rsidR="00E7016F">
        <w:t>. godinu zbog</w:t>
      </w:r>
      <w:r>
        <w:t xml:space="preserve"> manjeg prihoda za Školsku shemu. Od rujna 2022. godine u Školi se provodi samo shema voća i povrća.</w:t>
      </w:r>
    </w:p>
    <w:p w14:paraId="78975440" w14:textId="77777777" w:rsidR="0004014A" w:rsidRPr="00935D20" w:rsidRDefault="0004014A" w:rsidP="00337AEB"/>
    <w:p w14:paraId="60881CB9" w14:textId="2050DEED" w:rsidR="0004014A" w:rsidRPr="00935D20" w:rsidRDefault="00C06D12" w:rsidP="00C76472">
      <w:pPr>
        <w:rPr>
          <w:rStyle w:val="Istaknuto"/>
          <w:i w:val="0"/>
        </w:rPr>
      </w:pPr>
      <w:r>
        <w:rPr>
          <w:rStyle w:val="Istaknuto"/>
          <w:i w:val="0"/>
        </w:rPr>
        <w:t>Bilješka broj 6</w:t>
      </w:r>
    </w:p>
    <w:p w14:paraId="60C2E09D" w14:textId="77777777" w:rsidR="0004014A" w:rsidRPr="00935D20" w:rsidRDefault="0004014A" w:rsidP="00337AEB"/>
    <w:p w14:paraId="2F2FC718" w14:textId="57DC572F" w:rsidR="0004014A" w:rsidRPr="00935D20" w:rsidRDefault="00070F64" w:rsidP="00F41AF6">
      <w:r>
        <w:t>6393</w:t>
      </w:r>
      <w:r w:rsidR="00E7016F">
        <w:t xml:space="preserve"> Tekući prijenosi između proračunskih korisnika istog proračuna temeljem pr</w:t>
      </w:r>
      <w:r>
        <w:t>ijenosa EU sredstava bilježi rast za 44,9% u odnosu na 2021. godinu. Ovim prihodima financira se 72% prihvatljivog troška plaće pomoćnika u nastavi, a veći su jer Škola zapošljava 7 pomoćnika u nastavi dok ih je u prvih šest mjeseci 2021. godine bilo četiri.</w:t>
      </w:r>
    </w:p>
    <w:p w14:paraId="56F5B850" w14:textId="77777777" w:rsidR="0004014A" w:rsidRPr="00935D20" w:rsidRDefault="0004014A" w:rsidP="00F41AF6"/>
    <w:p w14:paraId="2BACB1AD" w14:textId="69D97D19" w:rsidR="0004014A" w:rsidRPr="00935D20" w:rsidRDefault="0004014A" w:rsidP="00F41AF6">
      <w:pPr>
        <w:rPr>
          <w:rStyle w:val="Istaknuto"/>
          <w:i w:val="0"/>
        </w:rPr>
      </w:pPr>
      <w:r w:rsidRPr="00935D20">
        <w:rPr>
          <w:rStyle w:val="Istaknuto"/>
          <w:i w:val="0"/>
        </w:rPr>
        <w:t>Bilješk</w:t>
      </w:r>
      <w:r w:rsidR="00C06D12">
        <w:rPr>
          <w:rStyle w:val="Istaknuto"/>
          <w:i w:val="0"/>
        </w:rPr>
        <w:t>a broj 7</w:t>
      </w:r>
    </w:p>
    <w:p w14:paraId="1B2900CF" w14:textId="77777777" w:rsidR="0004014A" w:rsidRPr="00935D20" w:rsidRDefault="0004014A" w:rsidP="00F41AF6"/>
    <w:p w14:paraId="0F10B934" w14:textId="4D99EE93" w:rsidR="00BC6F06" w:rsidRPr="00935D20" w:rsidRDefault="00070F64" w:rsidP="00F41AF6">
      <w:r>
        <w:t>6526</w:t>
      </w:r>
      <w:r w:rsidR="00E7016F">
        <w:t xml:space="preserve"> Ostali ne</w:t>
      </w:r>
      <w:r>
        <w:t>spomenuti prihodi veći su za 7</w:t>
      </w:r>
      <w:r w:rsidR="00E7016F">
        <w:t>% zbog većih prihoda za školsku kuhinju. U 202</w:t>
      </w:r>
      <w:r>
        <w:t xml:space="preserve">1. godini cijena školske kuhinje je bila 5,00 kn po danu dok je u 2022. godini iznosila 6,00 kn po danu. Također su ostvareni prihodi na osnovi refundacije troškova el. energije za sportsku dvoranu Vinko </w:t>
      </w:r>
      <w:proofErr w:type="spellStart"/>
      <w:r>
        <w:t>Zember</w:t>
      </w:r>
      <w:proofErr w:type="spellEnd"/>
      <w:r w:rsidR="00591B81">
        <w:t xml:space="preserve"> i</w:t>
      </w:r>
      <w:r>
        <w:t xml:space="preserve"> prihodi za popravak učeničkih tableta</w:t>
      </w:r>
      <w:r w:rsidR="00591B81">
        <w:t>.</w:t>
      </w:r>
    </w:p>
    <w:p w14:paraId="0F9DB59E" w14:textId="77777777" w:rsidR="0004014A" w:rsidRPr="00935D20" w:rsidRDefault="0004014A" w:rsidP="00F41AF6"/>
    <w:p w14:paraId="304D2AF1" w14:textId="3FA6D21D" w:rsidR="0004014A" w:rsidRPr="00935D20" w:rsidRDefault="00C06D12" w:rsidP="00F41AF6">
      <w:pPr>
        <w:rPr>
          <w:rStyle w:val="Istaknuto"/>
          <w:i w:val="0"/>
        </w:rPr>
      </w:pPr>
      <w:r>
        <w:rPr>
          <w:rStyle w:val="Istaknuto"/>
          <w:i w:val="0"/>
        </w:rPr>
        <w:t>Bilješka broj 8</w:t>
      </w:r>
    </w:p>
    <w:p w14:paraId="1B753067" w14:textId="77777777" w:rsidR="0004014A" w:rsidRPr="00935D20" w:rsidRDefault="0004014A" w:rsidP="00F41AF6"/>
    <w:p w14:paraId="79CE9284" w14:textId="406D3E06" w:rsidR="00FF5C90" w:rsidRDefault="00591B81" w:rsidP="00FF5C90">
      <w:r>
        <w:t>6614</w:t>
      </w:r>
      <w:r w:rsidR="00E7016F">
        <w:t xml:space="preserve"> </w:t>
      </w:r>
      <w:r>
        <w:t xml:space="preserve">Prihodi od prodaje proizvoda porasli su za 72,5% u odnosu na 2021. godine. Radi se o rastu prihoda Učeničke zadruge „Đurđica“ u sklopu koje su učenici na manifestacijama </w:t>
      </w:r>
      <w:r>
        <w:lastRenderedPageBreak/>
        <w:t>predstavljali i prodavali svoje ručno izrađene proizvode što zadnjih dvije godine nisu mogli zbog pandemije korona virusa.</w:t>
      </w:r>
    </w:p>
    <w:p w14:paraId="430B2278" w14:textId="1D3639B3" w:rsidR="00BD7887" w:rsidRDefault="00BD7887" w:rsidP="00FF5C90"/>
    <w:p w14:paraId="44505547" w14:textId="138CD1F9" w:rsidR="00BD7887" w:rsidRDefault="00C06D12" w:rsidP="00FF5C90">
      <w:r>
        <w:t>Bilješka broj 9</w:t>
      </w:r>
    </w:p>
    <w:p w14:paraId="5FC545DB" w14:textId="2E15DB7F" w:rsidR="00BD7887" w:rsidRDefault="00BD7887" w:rsidP="00FF5C90"/>
    <w:p w14:paraId="1792510F" w14:textId="38EBDDFE" w:rsidR="00BD7887" w:rsidRDefault="00591B81" w:rsidP="00FF5C90">
      <w:r>
        <w:t>6631 i 6632 Tekuće i kapitalne donacije bilježe pad u odnosu na 2021. godinu, a radi se od donaciji Euroherc osiguranja te o donaciji knjiga za školsku knjižnicu.</w:t>
      </w:r>
    </w:p>
    <w:p w14:paraId="0F38684C" w14:textId="72E9D6D2" w:rsidR="00BD7887" w:rsidRDefault="00BD7887" w:rsidP="00FF5C90"/>
    <w:p w14:paraId="0FE3214A" w14:textId="0395D672" w:rsidR="00B61F02" w:rsidRDefault="00C06D12" w:rsidP="00FF5C90">
      <w:r>
        <w:t>Bilješka broj 10</w:t>
      </w:r>
      <w:r w:rsidR="00B61F02">
        <w:t xml:space="preserve"> </w:t>
      </w:r>
    </w:p>
    <w:p w14:paraId="7835884D" w14:textId="77777777" w:rsidR="00B61F02" w:rsidRDefault="00B61F02" w:rsidP="00FF5C90"/>
    <w:p w14:paraId="37EFCDC9" w14:textId="3160FC4E" w:rsidR="00BD7887" w:rsidRDefault="00591B81" w:rsidP="00FF5C90">
      <w:r>
        <w:t>6711</w:t>
      </w:r>
      <w:r w:rsidR="00BD7887">
        <w:t xml:space="preserve"> Prihodi iz nadležnog proračuna za financiranje rashoda </w:t>
      </w:r>
      <w:r>
        <w:t>poslovanja bilježe pad za 22,6% zbog manjeg prenesenog metodološkog manjka iz 2021. godine u odnosu na preneseni manjak iz 2020. godine. Osim toga zbog smanjenja broja učenika i zaposlenika u novoj školskoj godini 2022./2023.</w:t>
      </w:r>
      <w:r w:rsidR="00560772">
        <w:t xml:space="preserve"> smanjili su se i prihodi za financiranje redovnih rashoda poslovanja.</w:t>
      </w:r>
    </w:p>
    <w:p w14:paraId="70BBF7E7" w14:textId="76224244" w:rsidR="0083002D" w:rsidRDefault="0083002D" w:rsidP="00FF5C90"/>
    <w:p w14:paraId="1B551388" w14:textId="1FAA6817" w:rsidR="0083002D" w:rsidRDefault="00C06D12" w:rsidP="00FF5C90">
      <w:r>
        <w:t>Bilješka broj 11</w:t>
      </w:r>
    </w:p>
    <w:p w14:paraId="3DF3B1A9" w14:textId="48F376DD" w:rsidR="00560772" w:rsidRDefault="00560772" w:rsidP="00FF5C90"/>
    <w:p w14:paraId="3F23C74A" w14:textId="2342DD7D" w:rsidR="00560772" w:rsidRDefault="00560772" w:rsidP="00FF5C90">
      <w:r>
        <w:t xml:space="preserve">6712 Prihodi iz nadležnog proračuna za financiranje rashoda za nabavu nefinancijske imovine manji su za 23,5% u odnosu na 2021. godinu, a osim pokrića metodološkog manjka ovim prihodima financirana je rekonstrukcija dvorane u dvije učionice koje su bile potrebne radi uvođenja </w:t>
      </w:r>
      <w:proofErr w:type="spellStart"/>
      <w:r>
        <w:t>jednosmjenske</w:t>
      </w:r>
      <w:proofErr w:type="spellEnd"/>
      <w:r>
        <w:t xml:space="preserve"> nastave, </w:t>
      </w:r>
      <w:r w:rsidR="0083002D">
        <w:t>izvođenje hidrantske mreže, nabava četiri stolnih računala, dva prijenosna računala, skener, namještaj za učionicu kemije i biologije te geografije, oprema za vanjsko uređenje okoliša (klupe, stalci za bicikle, vaze za cvijeće) te 82 prijenosna računala za potrebe OŠ „</w:t>
      </w:r>
      <w:proofErr w:type="spellStart"/>
      <w:r w:rsidR="0083002D">
        <w:t>Podolice</w:t>
      </w:r>
      <w:proofErr w:type="spellEnd"/>
      <w:r w:rsidR="0083002D">
        <w:t>“ koja je bila u fazi otvaranja, a na koju su ta računala prenesena kad je započela s radom.</w:t>
      </w:r>
    </w:p>
    <w:p w14:paraId="5737C30D" w14:textId="11429DDF" w:rsidR="0083002D" w:rsidRDefault="0083002D" w:rsidP="00FF5C90"/>
    <w:p w14:paraId="43AF26D0" w14:textId="387C5DE5" w:rsidR="0083002D" w:rsidRDefault="00C06D12" w:rsidP="00FF5C90">
      <w:r>
        <w:t>Bilješka broj 12</w:t>
      </w:r>
    </w:p>
    <w:p w14:paraId="1745653F" w14:textId="5C49DA02" w:rsidR="0083002D" w:rsidRDefault="0083002D" w:rsidP="00FF5C90"/>
    <w:p w14:paraId="183D5A71" w14:textId="534C1D7E" w:rsidR="0083002D" w:rsidRPr="00935D20" w:rsidRDefault="0083002D" w:rsidP="00FF5C90">
      <w:r>
        <w:t>683</w:t>
      </w:r>
      <w:r w:rsidR="00AC0437">
        <w:t xml:space="preserve"> Ostali prihodi bilježe značajan porast, a radi se o prihodima po osnovi refundacije troškova za korištenje el. energije prilikom izgradnje sportske dvorane.</w:t>
      </w:r>
    </w:p>
    <w:p w14:paraId="04D7CD84" w14:textId="77777777" w:rsidR="00BC6F06" w:rsidRDefault="00BC6F06" w:rsidP="00F41AF6">
      <w:pPr>
        <w:rPr>
          <w:rStyle w:val="Istaknuto"/>
          <w:i w:val="0"/>
        </w:rPr>
      </w:pPr>
    </w:p>
    <w:p w14:paraId="54181A4B" w14:textId="38BAEC2E" w:rsidR="00E83BE3" w:rsidRDefault="00E83BE3" w:rsidP="00F41AF6"/>
    <w:p w14:paraId="76038470" w14:textId="77777777" w:rsidR="00B61F02" w:rsidRDefault="00B61F02" w:rsidP="00F41AF6"/>
    <w:p w14:paraId="3BB584BD" w14:textId="77777777" w:rsidR="00E83BE3" w:rsidRPr="00E83BE3" w:rsidRDefault="00E83BE3" w:rsidP="00F41AF6">
      <w:pPr>
        <w:rPr>
          <w:b/>
          <w:bCs/>
          <w:u w:val="single"/>
        </w:rPr>
      </w:pPr>
      <w:r w:rsidRPr="00E83BE3">
        <w:rPr>
          <w:b/>
          <w:bCs/>
          <w:u w:val="single"/>
        </w:rPr>
        <w:t>RASHODI</w:t>
      </w:r>
    </w:p>
    <w:p w14:paraId="3DB22A2A" w14:textId="77777777" w:rsidR="008A0464" w:rsidRDefault="008A0464" w:rsidP="00F41AF6"/>
    <w:p w14:paraId="77086F7C" w14:textId="37CE1502" w:rsidR="008A0464" w:rsidRDefault="008A0464" w:rsidP="00F41AF6">
      <w:r>
        <w:t xml:space="preserve">Bilješka broj </w:t>
      </w:r>
      <w:r w:rsidR="00C06D12">
        <w:t>13</w:t>
      </w:r>
    </w:p>
    <w:p w14:paraId="19A9ED46" w14:textId="77777777" w:rsidR="008A0464" w:rsidRDefault="008A0464" w:rsidP="00F41AF6"/>
    <w:p w14:paraId="27004869" w14:textId="262BA70C" w:rsidR="008A0464" w:rsidRDefault="00A7095A" w:rsidP="00F41AF6">
      <w:r>
        <w:t>3111</w:t>
      </w:r>
      <w:r w:rsidR="00F711DE">
        <w:t xml:space="preserve"> R</w:t>
      </w:r>
      <w:r>
        <w:t>ashodi za zaposlene bilježe pad</w:t>
      </w:r>
      <w:r w:rsidR="00F711DE">
        <w:t xml:space="preserve"> za </w:t>
      </w:r>
      <w:r>
        <w:t>8</w:t>
      </w:r>
      <w:r w:rsidR="00F711DE">
        <w:t xml:space="preserve">% zbog </w:t>
      </w:r>
      <w:r>
        <w:t xml:space="preserve">smanjenja broja zaposlenih od kolovoza 2022. godine. Doprinosi za obvezno osiguranje u slučaju nezaposlenosti </w:t>
      </w:r>
      <w:r w:rsidR="009D03D0">
        <w:t>plaćeni su po sudskim presudama.</w:t>
      </w:r>
    </w:p>
    <w:p w14:paraId="50E69D8A" w14:textId="77777777" w:rsidR="007A47EE" w:rsidRDefault="007A47EE" w:rsidP="00F41AF6"/>
    <w:p w14:paraId="3A369638" w14:textId="51D9DB20" w:rsidR="007A47EE" w:rsidRDefault="007A47EE" w:rsidP="00F41AF6">
      <w:r>
        <w:t xml:space="preserve">Bilješka broj </w:t>
      </w:r>
      <w:r w:rsidR="00C06D12">
        <w:t>14</w:t>
      </w:r>
    </w:p>
    <w:p w14:paraId="5B2DA913" w14:textId="77777777" w:rsidR="007A47EE" w:rsidRDefault="007A47EE" w:rsidP="00F41AF6"/>
    <w:p w14:paraId="01BC29BA" w14:textId="26FC4190" w:rsidR="007A47EE" w:rsidRDefault="00304585" w:rsidP="00F41AF6">
      <w:r>
        <w:t>3211</w:t>
      </w:r>
      <w:r w:rsidR="00F711DE">
        <w:t xml:space="preserve"> Službena putovanja bilježi </w:t>
      </w:r>
      <w:r w:rsidR="00B61F02">
        <w:t>rast</w:t>
      </w:r>
      <w:r w:rsidR="00F711DE">
        <w:t xml:space="preserve"> za </w:t>
      </w:r>
      <w:r w:rsidR="009D03D0">
        <w:t>163,8</w:t>
      </w:r>
      <w:r w:rsidR="00B61F02">
        <w:t>%</w:t>
      </w:r>
      <w:r w:rsidR="009D03D0">
        <w:t xml:space="preserve"> u odnosu na 2021. godinu jer su te godine još uvijek bile na snazi mjere zabrane odnosno ograničenja putovanja te su se stručni skupovi održavali online. U 2022. godini mjere su ukinute i izvršena su svi planirani izleti i putovanja te stručni skupovi i usavršavanja.</w:t>
      </w:r>
    </w:p>
    <w:p w14:paraId="2A9986A9" w14:textId="651459D2" w:rsidR="006E0452" w:rsidRDefault="006E0452" w:rsidP="00F41AF6"/>
    <w:p w14:paraId="58C6C240" w14:textId="77777777" w:rsidR="00304585" w:rsidRDefault="00304585" w:rsidP="00F41AF6"/>
    <w:p w14:paraId="628B69FA" w14:textId="7417F86C" w:rsidR="006E0452" w:rsidRDefault="006E0452" w:rsidP="00F41AF6">
      <w:r>
        <w:lastRenderedPageBreak/>
        <w:t xml:space="preserve">Bilješka broj </w:t>
      </w:r>
      <w:r w:rsidR="00F711DE">
        <w:t>1</w:t>
      </w:r>
      <w:r w:rsidR="00C06D12">
        <w:t>5</w:t>
      </w:r>
    </w:p>
    <w:p w14:paraId="56A22D83" w14:textId="77777777" w:rsidR="00304585" w:rsidRDefault="00304585" w:rsidP="00F41AF6"/>
    <w:p w14:paraId="196D83AC" w14:textId="69A1BEC0" w:rsidR="006E0452" w:rsidRDefault="009D03D0" w:rsidP="00F41AF6">
      <w:r>
        <w:t>3212</w:t>
      </w:r>
      <w:r w:rsidR="00F711DE">
        <w:t xml:space="preserve"> Naknade za prijevoz za rad na terenu i odvojeni život bilježi </w:t>
      </w:r>
      <w:r w:rsidR="00B61F02">
        <w:t>rast</w:t>
      </w:r>
      <w:r w:rsidR="00F711DE">
        <w:t xml:space="preserve"> za </w:t>
      </w:r>
      <w:r>
        <w:t>21,6</w:t>
      </w:r>
      <w:r w:rsidR="00F711DE">
        <w:t xml:space="preserve">% </w:t>
      </w:r>
      <w:r>
        <w:t>jer su troškovi prijevoza rasli zbog rasta cijene goriva</w:t>
      </w:r>
      <w:r w:rsidR="004319E4">
        <w:t>.</w:t>
      </w:r>
    </w:p>
    <w:p w14:paraId="19612DE3" w14:textId="77777777" w:rsidR="006E0452" w:rsidRDefault="006E0452" w:rsidP="00F41AF6"/>
    <w:p w14:paraId="01277D03" w14:textId="6EC661CF" w:rsidR="004319E4" w:rsidRDefault="006E0452" w:rsidP="00F41AF6">
      <w:r>
        <w:t>Bilješka broj 1</w:t>
      </w:r>
      <w:r w:rsidR="00C06D12">
        <w:t>6</w:t>
      </w:r>
    </w:p>
    <w:p w14:paraId="284625D2" w14:textId="77777777" w:rsidR="006E0452" w:rsidRDefault="006E0452" w:rsidP="00F41AF6"/>
    <w:p w14:paraId="2625AEAD" w14:textId="7A4F456D" w:rsidR="006E0452" w:rsidRPr="00935D20" w:rsidRDefault="00304585" w:rsidP="00F41AF6">
      <w:r>
        <w:t>32136</w:t>
      </w:r>
      <w:r w:rsidR="008D566A">
        <w:t xml:space="preserve"> </w:t>
      </w:r>
      <w:r w:rsidR="00B61F02">
        <w:t>Stručno usavršavanje zaposlenika</w:t>
      </w:r>
      <w:r w:rsidR="004319E4">
        <w:t xml:space="preserve"> bilježi rast za 55,1%. zbog edukacije pomoćnika u nastavi te osposobljavanja zaposlenika za rad na siguran način.</w:t>
      </w:r>
    </w:p>
    <w:p w14:paraId="0EAADDF8" w14:textId="77777777" w:rsidR="0004014A" w:rsidRPr="00935D20" w:rsidRDefault="0004014A" w:rsidP="00F41AF6"/>
    <w:p w14:paraId="4C1232A2" w14:textId="0041B4F3" w:rsidR="0004014A" w:rsidRDefault="006E0452" w:rsidP="00F41AF6">
      <w:r>
        <w:t>Bilješka broj 1</w:t>
      </w:r>
      <w:r w:rsidR="00C06D12">
        <w:t>7</w:t>
      </w:r>
    </w:p>
    <w:p w14:paraId="712D4BE3" w14:textId="77777777" w:rsidR="006E0452" w:rsidRDefault="006E0452" w:rsidP="00F41AF6"/>
    <w:p w14:paraId="71C537E7" w14:textId="09C76437" w:rsidR="00BC6F06" w:rsidRDefault="00304585" w:rsidP="00F41AF6">
      <w:r>
        <w:t>3221</w:t>
      </w:r>
      <w:r w:rsidR="008D566A">
        <w:t xml:space="preserve"> Uredski materijal i ostali materijalni rashodi bilježe </w:t>
      </w:r>
      <w:r w:rsidR="00F46BAB">
        <w:t>rast za 11,5% zbog nabave većih količina higijenskog materijala ali i zbog rasta cijena.</w:t>
      </w:r>
    </w:p>
    <w:p w14:paraId="35FE7D3F" w14:textId="77777777" w:rsidR="00BC6F06" w:rsidRDefault="00BC6F06" w:rsidP="00F41AF6"/>
    <w:p w14:paraId="7F17BC1D" w14:textId="5B5086C3" w:rsidR="0096622C" w:rsidRDefault="0096622C" w:rsidP="00F41AF6">
      <w:r>
        <w:t>Bilješka broj 1</w:t>
      </w:r>
      <w:r w:rsidR="00C06D12">
        <w:t>8</w:t>
      </w:r>
    </w:p>
    <w:p w14:paraId="4C98A9C2" w14:textId="77777777" w:rsidR="0096622C" w:rsidRDefault="0096622C" w:rsidP="00F41AF6"/>
    <w:p w14:paraId="17B54FD2" w14:textId="00B6B465" w:rsidR="006E0452" w:rsidRDefault="00F46BAB" w:rsidP="00F41AF6">
      <w:r>
        <w:t>3222</w:t>
      </w:r>
      <w:r w:rsidR="00F53C1F">
        <w:t xml:space="preserve"> Mater</w:t>
      </w:r>
      <w:r>
        <w:t>ijal i sirovine manji su za 18,3% jer se od rujna 2022. broj učenika gotovo prepolovio pa su se smanjili i rashodi za namirnice za školsku kuhinju.</w:t>
      </w:r>
    </w:p>
    <w:p w14:paraId="21C3E4B0" w14:textId="77777777" w:rsidR="001D05B1" w:rsidRDefault="001D05B1" w:rsidP="00F41AF6"/>
    <w:p w14:paraId="7328ECA8" w14:textId="2492434C" w:rsidR="001D05B1" w:rsidRDefault="001D05B1" w:rsidP="00F41AF6">
      <w:r>
        <w:t>Bilješka broj 1</w:t>
      </w:r>
      <w:r w:rsidR="00C06D12">
        <w:t>9</w:t>
      </w:r>
    </w:p>
    <w:p w14:paraId="040BD621" w14:textId="77777777" w:rsidR="001D05B1" w:rsidRDefault="001D05B1" w:rsidP="00F41AF6"/>
    <w:p w14:paraId="5957A782" w14:textId="6A09A24E" w:rsidR="006B2C3C" w:rsidRDefault="00304585" w:rsidP="00F41AF6">
      <w:r>
        <w:t>3223</w:t>
      </w:r>
      <w:r w:rsidR="003C19A3">
        <w:t xml:space="preserve"> Energija bilježi rast za 9,9% jer smo imali veće troškove električne energije zbog izgradnje nove dvorane.</w:t>
      </w:r>
    </w:p>
    <w:p w14:paraId="00964C6A" w14:textId="77777777" w:rsidR="001D05B1" w:rsidRDefault="001D05B1" w:rsidP="00F41AF6"/>
    <w:p w14:paraId="20FE27B8" w14:textId="0D4CFAD1" w:rsidR="001D05B1" w:rsidRDefault="00C06D12" w:rsidP="00F41AF6">
      <w:r>
        <w:t>Bilješka broj 20</w:t>
      </w:r>
    </w:p>
    <w:p w14:paraId="514693F0" w14:textId="77777777" w:rsidR="001D05B1" w:rsidRDefault="001D05B1" w:rsidP="00F41AF6"/>
    <w:p w14:paraId="1BA63837" w14:textId="4C637008" w:rsidR="001D05B1" w:rsidRDefault="00304585" w:rsidP="00F41AF6">
      <w:r>
        <w:t>3225</w:t>
      </w:r>
      <w:r w:rsidR="003C19A3">
        <w:t xml:space="preserve"> </w:t>
      </w:r>
      <w:r w:rsidR="00F46BAB">
        <w:t>Sitni inventar bilježi pad za 95,2% u odnosu na 2021. godinu jer smo u 2021. godini imali nabavu sitnog inventara za školsku kuhinju u područnoj školi. U 2022. godini nabavljena je pumpa za lopte, tokeni i sirena za upozorenje na opasnost.</w:t>
      </w:r>
    </w:p>
    <w:p w14:paraId="52C765DA" w14:textId="77777777" w:rsidR="001D05B1" w:rsidRDefault="001D05B1" w:rsidP="00F41AF6"/>
    <w:p w14:paraId="469B4E29" w14:textId="6ECCF1E7" w:rsidR="001D05B1" w:rsidRDefault="001D05B1" w:rsidP="00F41AF6">
      <w:r>
        <w:t xml:space="preserve">Bilješka broj </w:t>
      </w:r>
      <w:r w:rsidR="00C06D12">
        <w:t>21</w:t>
      </w:r>
    </w:p>
    <w:p w14:paraId="4F125F4C" w14:textId="77777777" w:rsidR="001D05B1" w:rsidRDefault="001D05B1" w:rsidP="00F41AF6"/>
    <w:p w14:paraId="0EDECFBD" w14:textId="688405D4" w:rsidR="001D05B1" w:rsidRDefault="001721A7" w:rsidP="00F41AF6">
      <w:r>
        <w:t>3227 Službena radna i zaštitna odjeća i obuća  - za razliku od 2021. godine kada nismo imali ovu vrstu rashoda u 2022. godini nabavljena je radna odjeća i obuća za kuharice, spremačice i domara.</w:t>
      </w:r>
    </w:p>
    <w:p w14:paraId="14D43312" w14:textId="77777777" w:rsidR="006E0452" w:rsidRPr="00935D20" w:rsidRDefault="006E0452" w:rsidP="00F41AF6"/>
    <w:p w14:paraId="37ED59C4" w14:textId="59B448AE" w:rsidR="005452BA" w:rsidRDefault="00EB56FB" w:rsidP="00F41AF6">
      <w:pPr>
        <w:rPr>
          <w:rStyle w:val="Istaknuto"/>
          <w:i w:val="0"/>
        </w:rPr>
      </w:pPr>
      <w:r w:rsidRPr="00935D20">
        <w:rPr>
          <w:rStyle w:val="Istaknuto"/>
          <w:i w:val="0"/>
        </w:rPr>
        <w:t xml:space="preserve">Bilješka broj </w:t>
      </w:r>
      <w:r w:rsidR="00C06D12">
        <w:rPr>
          <w:rStyle w:val="Istaknuto"/>
          <w:i w:val="0"/>
        </w:rPr>
        <w:t>22</w:t>
      </w:r>
    </w:p>
    <w:p w14:paraId="10711ACD" w14:textId="5E1DDB1A" w:rsidR="001721A7" w:rsidRDefault="001721A7" w:rsidP="00F41AF6">
      <w:pPr>
        <w:rPr>
          <w:rStyle w:val="Istaknuto"/>
          <w:i w:val="0"/>
        </w:rPr>
      </w:pPr>
    </w:p>
    <w:p w14:paraId="3A6B49DD" w14:textId="4D9FE0C9" w:rsidR="001721A7" w:rsidRDefault="001721A7" w:rsidP="00F41AF6">
      <w:pPr>
        <w:rPr>
          <w:rStyle w:val="Istaknuto"/>
          <w:i w:val="0"/>
        </w:rPr>
      </w:pPr>
      <w:r>
        <w:rPr>
          <w:rStyle w:val="Istaknuto"/>
          <w:i w:val="0"/>
        </w:rPr>
        <w:t>3231 Usluge telefona, pošte i prijevoza bilježe lagani pad od 3% zbog smanjenja troškova prijevoza učenika.</w:t>
      </w:r>
    </w:p>
    <w:p w14:paraId="0E6633EE" w14:textId="01E2DFFF" w:rsidR="005452BA" w:rsidRDefault="005452BA" w:rsidP="00F41AF6">
      <w:pPr>
        <w:rPr>
          <w:rStyle w:val="Istaknuto"/>
          <w:i w:val="0"/>
        </w:rPr>
      </w:pPr>
    </w:p>
    <w:p w14:paraId="77B7E564" w14:textId="12089CBF" w:rsidR="005452BA" w:rsidRDefault="005452BA" w:rsidP="00F41AF6">
      <w:pPr>
        <w:rPr>
          <w:rStyle w:val="Istaknuto"/>
          <w:i w:val="0"/>
        </w:rPr>
      </w:pPr>
      <w:r>
        <w:rPr>
          <w:rStyle w:val="Istaknuto"/>
          <w:i w:val="0"/>
        </w:rPr>
        <w:t xml:space="preserve">Bilješka broj </w:t>
      </w:r>
      <w:r w:rsidR="00C06D12">
        <w:rPr>
          <w:rStyle w:val="Istaknuto"/>
          <w:i w:val="0"/>
        </w:rPr>
        <w:t>23</w:t>
      </w:r>
    </w:p>
    <w:p w14:paraId="4A79BF36" w14:textId="60251B51" w:rsidR="003A5D4E" w:rsidRDefault="003A5D4E" w:rsidP="00F41AF6">
      <w:pPr>
        <w:rPr>
          <w:rStyle w:val="Istaknuto"/>
          <w:i w:val="0"/>
        </w:rPr>
      </w:pPr>
    </w:p>
    <w:p w14:paraId="0A95CD05" w14:textId="2BF176A8" w:rsidR="005452BA" w:rsidRDefault="001721A7" w:rsidP="00F41AF6">
      <w:pPr>
        <w:rPr>
          <w:rStyle w:val="Istaknuto"/>
          <w:i w:val="0"/>
        </w:rPr>
      </w:pPr>
      <w:r>
        <w:rPr>
          <w:rStyle w:val="Istaknuto"/>
          <w:i w:val="0"/>
        </w:rPr>
        <w:t>3232 Usluge tekućeg i investicijskog održavanja bilježe pad za 57,4% u odnosu na 2021. godinu, a osim na redovne servise odnose se na popravke starih prijenosnih računala, sanaciju zidova u blagovaonici i hodniku, uređenje učionice kemije i biologije, instalaciju novih računala u uredima te postavljanje vanjske opreme.</w:t>
      </w:r>
    </w:p>
    <w:p w14:paraId="7CDA763A" w14:textId="5C16FFD8" w:rsidR="005452BA" w:rsidRDefault="005452BA" w:rsidP="00F41AF6">
      <w:pPr>
        <w:rPr>
          <w:rStyle w:val="Istaknuto"/>
          <w:i w:val="0"/>
        </w:rPr>
      </w:pPr>
    </w:p>
    <w:p w14:paraId="73D1935D" w14:textId="77777777" w:rsidR="00304585" w:rsidRDefault="00304585" w:rsidP="00F41AF6">
      <w:pPr>
        <w:rPr>
          <w:rStyle w:val="Istaknuto"/>
          <w:i w:val="0"/>
        </w:rPr>
      </w:pPr>
    </w:p>
    <w:p w14:paraId="01906876" w14:textId="4371D6E6" w:rsidR="005452BA" w:rsidRDefault="005452BA" w:rsidP="00F41AF6">
      <w:pPr>
        <w:rPr>
          <w:rStyle w:val="Istaknuto"/>
          <w:i w:val="0"/>
        </w:rPr>
      </w:pPr>
      <w:r>
        <w:rPr>
          <w:rStyle w:val="Istaknuto"/>
          <w:i w:val="0"/>
        </w:rPr>
        <w:lastRenderedPageBreak/>
        <w:t>Bilješka broj 2</w:t>
      </w:r>
      <w:r w:rsidR="00C06D12">
        <w:rPr>
          <w:rStyle w:val="Istaknuto"/>
          <w:i w:val="0"/>
        </w:rPr>
        <w:t>4</w:t>
      </w:r>
    </w:p>
    <w:p w14:paraId="2EB4ABC7" w14:textId="642EC283" w:rsidR="005452BA" w:rsidRDefault="005452BA" w:rsidP="00F41AF6">
      <w:pPr>
        <w:rPr>
          <w:rStyle w:val="Istaknuto"/>
          <w:i w:val="0"/>
        </w:rPr>
      </w:pPr>
    </w:p>
    <w:p w14:paraId="70E917E5" w14:textId="6C2E2555" w:rsidR="005452BA" w:rsidRDefault="001721A7" w:rsidP="00F41AF6">
      <w:pPr>
        <w:rPr>
          <w:rStyle w:val="Istaknuto"/>
          <w:i w:val="0"/>
        </w:rPr>
      </w:pPr>
      <w:r>
        <w:rPr>
          <w:rStyle w:val="Istaknuto"/>
          <w:i w:val="0"/>
        </w:rPr>
        <w:t>3234 Komunalne usluge bilježe pad za 14,4</w:t>
      </w:r>
      <w:r w:rsidR="007053A3">
        <w:rPr>
          <w:rStyle w:val="Istaknuto"/>
          <w:i w:val="0"/>
        </w:rPr>
        <w:t>%. Zatvaranjem područne škole smanjili su se troškovi odvoza otpada i troškovi za vodu.</w:t>
      </w:r>
    </w:p>
    <w:p w14:paraId="09DACDF3" w14:textId="2A1B945B" w:rsidR="005452BA" w:rsidRDefault="005452BA" w:rsidP="00F41AF6">
      <w:pPr>
        <w:rPr>
          <w:rStyle w:val="Istaknuto"/>
          <w:i w:val="0"/>
        </w:rPr>
      </w:pPr>
    </w:p>
    <w:p w14:paraId="7F173FEC" w14:textId="37B78B71" w:rsidR="005452BA" w:rsidRDefault="005452BA" w:rsidP="00F41AF6">
      <w:pPr>
        <w:rPr>
          <w:rStyle w:val="Istaknuto"/>
          <w:i w:val="0"/>
        </w:rPr>
      </w:pPr>
      <w:r>
        <w:rPr>
          <w:rStyle w:val="Istaknuto"/>
          <w:i w:val="0"/>
        </w:rPr>
        <w:t>Bilješka broj 2</w:t>
      </w:r>
      <w:r w:rsidR="00C06D12">
        <w:rPr>
          <w:rStyle w:val="Istaknuto"/>
          <w:i w:val="0"/>
        </w:rPr>
        <w:t>5</w:t>
      </w:r>
    </w:p>
    <w:p w14:paraId="21FB1B27" w14:textId="7A389364" w:rsidR="00A66226" w:rsidRDefault="00A66226" w:rsidP="00F41AF6">
      <w:pPr>
        <w:rPr>
          <w:rStyle w:val="Istaknuto"/>
          <w:i w:val="0"/>
        </w:rPr>
      </w:pPr>
    </w:p>
    <w:p w14:paraId="677B62A1" w14:textId="668AEC3D" w:rsidR="007053A3" w:rsidRDefault="007053A3" w:rsidP="00F41AF6">
      <w:pPr>
        <w:rPr>
          <w:rStyle w:val="Istaknuto"/>
          <w:i w:val="0"/>
        </w:rPr>
      </w:pPr>
      <w:r>
        <w:rPr>
          <w:rStyle w:val="Istaknuto"/>
          <w:i w:val="0"/>
        </w:rPr>
        <w:t>3235 Zakupnine i najamnine bilježe porast za 41,7% zbog najma licence za digitalnu pisarnicu.</w:t>
      </w:r>
    </w:p>
    <w:p w14:paraId="7A95BC52" w14:textId="77777777" w:rsidR="007053A3" w:rsidRDefault="007053A3" w:rsidP="00F41AF6">
      <w:pPr>
        <w:rPr>
          <w:rStyle w:val="Istaknuto"/>
          <w:i w:val="0"/>
        </w:rPr>
      </w:pPr>
    </w:p>
    <w:p w14:paraId="6C24895D" w14:textId="32CAD853" w:rsidR="00A66226" w:rsidRDefault="00A66226" w:rsidP="00F41AF6">
      <w:pPr>
        <w:rPr>
          <w:rStyle w:val="Istaknuto"/>
          <w:i w:val="0"/>
        </w:rPr>
      </w:pPr>
      <w:r>
        <w:rPr>
          <w:rStyle w:val="Istaknuto"/>
          <w:i w:val="0"/>
        </w:rPr>
        <w:t>Bilješka broj 2</w:t>
      </w:r>
      <w:r w:rsidR="00C06D12">
        <w:rPr>
          <w:rStyle w:val="Istaknuto"/>
          <w:i w:val="0"/>
        </w:rPr>
        <w:t>6</w:t>
      </w:r>
    </w:p>
    <w:p w14:paraId="2800721D" w14:textId="77777777" w:rsidR="007053A3" w:rsidRDefault="007053A3" w:rsidP="00F41AF6">
      <w:pPr>
        <w:rPr>
          <w:rStyle w:val="Istaknuto"/>
          <w:i w:val="0"/>
        </w:rPr>
      </w:pPr>
    </w:p>
    <w:p w14:paraId="46BC452C" w14:textId="7C414147" w:rsidR="005452BA" w:rsidRDefault="007053A3" w:rsidP="00F41AF6">
      <w:pPr>
        <w:rPr>
          <w:rStyle w:val="Istaknuto"/>
          <w:i w:val="0"/>
        </w:rPr>
      </w:pPr>
      <w:r>
        <w:rPr>
          <w:rStyle w:val="Istaknuto"/>
          <w:i w:val="0"/>
        </w:rPr>
        <w:t>3236</w:t>
      </w:r>
      <w:r w:rsidR="00A66226">
        <w:rPr>
          <w:rStyle w:val="Istaknuto"/>
          <w:i w:val="0"/>
        </w:rPr>
        <w:t xml:space="preserve"> </w:t>
      </w:r>
      <w:r>
        <w:rPr>
          <w:rStyle w:val="Istaknuto"/>
          <w:i w:val="0"/>
        </w:rPr>
        <w:t>Zdravstvene i veterinarske usluge bilježe rast za 105,3% jer je Grad Koprivnica osigurao sredstva te je provedena nabava za sistematske preglede svih zaposlenika.</w:t>
      </w:r>
    </w:p>
    <w:p w14:paraId="0C6F1A55" w14:textId="1D51F23E" w:rsidR="00A66226" w:rsidRDefault="00A66226" w:rsidP="00F41AF6">
      <w:pPr>
        <w:rPr>
          <w:rStyle w:val="Istaknuto"/>
          <w:i w:val="0"/>
        </w:rPr>
      </w:pPr>
    </w:p>
    <w:p w14:paraId="6BC6F350" w14:textId="7FF0A5B6" w:rsidR="00A66226" w:rsidRDefault="00A66226" w:rsidP="00F41AF6">
      <w:pPr>
        <w:rPr>
          <w:rStyle w:val="Istaknuto"/>
          <w:i w:val="0"/>
        </w:rPr>
      </w:pPr>
      <w:r>
        <w:rPr>
          <w:rStyle w:val="Istaknuto"/>
          <w:i w:val="0"/>
        </w:rPr>
        <w:t>Bilješka broj 2</w:t>
      </w:r>
      <w:r w:rsidR="00C06D12">
        <w:rPr>
          <w:rStyle w:val="Istaknuto"/>
          <w:i w:val="0"/>
        </w:rPr>
        <w:t>7</w:t>
      </w:r>
    </w:p>
    <w:p w14:paraId="61B89A74" w14:textId="020A3BB2" w:rsidR="00A66226" w:rsidRDefault="00A66226" w:rsidP="00F41AF6">
      <w:pPr>
        <w:rPr>
          <w:rStyle w:val="Istaknuto"/>
          <w:i w:val="0"/>
        </w:rPr>
      </w:pPr>
    </w:p>
    <w:p w14:paraId="5DA0D030" w14:textId="176ECABB" w:rsidR="00A66226" w:rsidRDefault="007053A3" w:rsidP="00F41AF6">
      <w:pPr>
        <w:rPr>
          <w:rStyle w:val="Istaknuto"/>
          <w:i w:val="0"/>
        </w:rPr>
      </w:pPr>
      <w:r>
        <w:rPr>
          <w:rStyle w:val="Istaknuto"/>
          <w:i w:val="0"/>
        </w:rPr>
        <w:t>3237</w:t>
      </w:r>
      <w:r w:rsidR="00A66226">
        <w:rPr>
          <w:rStyle w:val="Istaknuto"/>
          <w:i w:val="0"/>
        </w:rPr>
        <w:t xml:space="preserve"> </w:t>
      </w:r>
      <w:r>
        <w:rPr>
          <w:rStyle w:val="Istaknuto"/>
          <w:i w:val="0"/>
        </w:rPr>
        <w:t xml:space="preserve">Intelektualne i osobne usluge bilježe porast za 14,2%, a odnose se na rashode za pravne usluge, isplate predavačima na županijskim stručnim vijećima te sudcima </w:t>
      </w:r>
      <w:r w:rsidR="00DD1B74">
        <w:rPr>
          <w:rStyle w:val="Istaknuto"/>
          <w:i w:val="0"/>
        </w:rPr>
        <w:t>na školskim natjecanjima.</w:t>
      </w:r>
    </w:p>
    <w:p w14:paraId="001B9D68" w14:textId="3E724FA3" w:rsidR="00A66226" w:rsidRDefault="00A66226" w:rsidP="00F41AF6">
      <w:pPr>
        <w:rPr>
          <w:rStyle w:val="Istaknuto"/>
          <w:i w:val="0"/>
        </w:rPr>
      </w:pPr>
    </w:p>
    <w:p w14:paraId="4265E42D" w14:textId="1F0CED2E" w:rsidR="00A66226" w:rsidRDefault="00A66226" w:rsidP="00F41AF6">
      <w:pPr>
        <w:rPr>
          <w:rStyle w:val="Istaknuto"/>
          <w:i w:val="0"/>
        </w:rPr>
      </w:pPr>
      <w:r>
        <w:rPr>
          <w:rStyle w:val="Istaknuto"/>
          <w:i w:val="0"/>
        </w:rPr>
        <w:t>Bilješka broj 2</w:t>
      </w:r>
      <w:r w:rsidR="00C06D12">
        <w:rPr>
          <w:rStyle w:val="Istaknuto"/>
          <w:i w:val="0"/>
        </w:rPr>
        <w:t>8</w:t>
      </w:r>
    </w:p>
    <w:p w14:paraId="6C8AFE9F" w14:textId="2B570B6E" w:rsidR="00DD1B74" w:rsidRDefault="00DD1B74" w:rsidP="00F41AF6">
      <w:pPr>
        <w:rPr>
          <w:rStyle w:val="Istaknuto"/>
          <w:i w:val="0"/>
        </w:rPr>
      </w:pPr>
    </w:p>
    <w:p w14:paraId="455E4391" w14:textId="4FB85D2F" w:rsidR="00DD1B74" w:rsidRDefault="00DD1B74" w:rsidP="00F41AF6">
      <w:pPr>
        <w:rPr>
          <w:rStyle w:val="Istaknuto"/>
          <w:i w:val="0"/>
        </w:rPr>
      </w:pPr>
      <w:r>
        <w:rPr>
          <w:rStyle w:val="Istaknuto"/>
          <w:i w:val="0"/>
        </w:rPr>
        <w:t>3239 Ostale usluge bilježe pad za 61,2% jer smo u 2021. godini imali rashode za uslugu čišćenja dvorane do dobivanja odobrenja za zapošljavanje spremačice te smo imali rashod za izradu idejnog rješenja za izvođene hidrantske mreže. U 2022. godini rashodi se odnose na izrade fotografija, tiskarske usluge, te usluge ažuriranja procjene rizika.</w:t>
      </w:r>
    </w:p>
    <w:p w14:paraId="51C806A4" w14:textId="14AF953B" w:rsidR="00223698" w:rsidRDefault="00223698" w:rsidP="00F41AF6">
      <w:pPr>
        <w:rPr>
          <w:rStyle w:val="Istaknuto"/>
          <w:i w:val="0"/>
        </w:rPr>
      </w:pPr>
    </w:p>
    <w:p w14:paraId="2EFCBCB2" w14:textId="25C401DC" w:rsidR="00C06D12" w:rsidRDefault="00C06D12" w:rsidP="00F41AF6">
      <w:pPr>
        <w:rPr>
          <w:rStyle w:val="Istaknuto"/>
          <w:i w:val="0"/>
        </w:rPr>
      </w:pPr>
      <w:r>
        <w:rPr>
          <w:rStyle w:val="Istaknuto"/>
          <w:i w:val="0"/>
        </w:rPr>
        <w:t>Bilješka broj 29</w:t>
      </w:r>
    </w:p>
    <w:p w14:paraId="12963354" w14:textId="77777777" w:rsidR="00C06D12" w:rsidRDefault="00C06D12" w:rsidP="00F41AF6">
      <w:pPr>
        <w:rPr>
          <w:rStyle w:val="Istaknuto"/>
          <w:i w:val="0"/>
        </w:rPr>
      </w:pPr>
    </w:p>
    <w:p w14:paraId="3724C91E" w14:textId="77BAF747" w:rsidR="00DD1B74" w:rsidRDefault="00DD1B74" w:rsidP="00F41AF6">
      <w:pPr>
        <w:rPr>
          <w:rStyle w:val="Istaknuto"/>
          <w:i w:val="0"/>
        </w:rPr>
      </w:pPr>
      <w:r>
        <w:rPr>
          <w:rStyle w:val="Istaknuto"/>
          <w:i w:val="0"/>
        </w:rPr>
        <w:t>3292 Premije osiguranja bilježe pad za 43,5% jer se zbog smanjena broja učenika smanjila i premija osiguranja učenika.</w:t>
      </w:r>
    </w:p>
    <w:p w14:paraId="0FCD1296" w14:textId="77777777" w:rsidR="00521AB8" w:rsidRDefault="00521AB8" w:rsidP="00F41AF6">
      <w:pPr>
        <w:rPr>
          <w:rStyle w:val="Istaknuto"/>
          <w:i w:val="0"/>
        </w:rPr>
      </w:pPr>
    </w:p>
    <w:p w14:paraId="4D707A38" w14:textId="6D98B12F" w:rsidR="00A66226" w:rsidRDefault="00A66226" w:rsidP="00F41AF6">
      <w:pPr>
        <w:rPr>
          <w:rStyle w:val="Istaknuto"/>
          <w:i w:val="0"/>
        </w:rPr>
      </w:pPr>
    </w:p>
    <w:p w14:paraId="15D24AA4" w14:textId="387A4A18" w:rsidR="00223698" w:rsidRDefault="00223698" w:rsidP="00F41AF6">
      <w:pPr>
        <w:rPr>
          <w:rStyle w:val="Istaknuto"/>
          <w:i w:val="0"/>
        </w:rPr>
      </w:pPr>
      <w:r>
        <w:rPr>
          <w:rStyle w:val="Istaknuto"/>
          <w:i w:val="0"/>
        </w:rPr>
        <w:t xml:space="preserve">Bilješka broj </w:t>
      </w:r>
      <w:r w:rsidR="00C06D12">
        <w:rPr>
          <w:rStyle w:val="Istaknuto"/>
          <w:i w:val="0"/>
        </w:rPr>
        <w:t>30</w:t>
      </w:r>
    </w:p>
    <w:p w14:paraId="4A59FC0B" w14:textId="79270158" w:rsidR="00C06D12" w:rsidRDefault="00C06D12" w:rsidP="00F41AF6">
      <w:pPr>
        <w:rPr>
          <w:rStyle w:val="Istaknuto"/>
          <w:i w:val="0"/>
        </w:rPr>
      </w:pPr>
    </w:p>
    <w:p w14:paraId="686B7484" w14:textId="75A22484" w:rsidR="00C06D12" w:rsidRDefault="00C06D12" w:rsidP="00F41AF6">
      <w:pPr>
        <w:rPr>
          <w:rStyle w:val="Istaknuto"/>
          <w:i w:val="0"/>
        </w:rPr>
      </w:pPr>
      <w:r>
        <w:rPr>
          <w:rStyle w:val="Istaknuto"/>
          <w:i w:val="0"/>
        </w:rPr>
        <w:t>3295 Pristojbe i norme i 3296 Troškovi sudskih postupaka veći su u 2021. godini zbog isplata temeljem tužbi zaposlenika.</w:t>
      </w:r>
    </w:p>
    <w:p w14:paraId="685FE4D8" w14:textId="41DB2D47" w:rsidR="00C06D12" w:rsidRDefault="00C06D12" w:rsidP="00F41AF6">
      <w:pPr>
        <w:rPr>
          <w:rStyle w:val="Istaknuto"/>
          <w:i w:val="0"/>
        </w:rPr>
      </w:pPr>
    </w:p>
    <w:p w14:paraId="1064CB79" w14:textId="75851EFF" w:rsidR="00C06D12" w:rsidRDefault="00C06D12" w:rsidP="00F41AF6">
      <w:pPr>
        <w:rPr>
          <w:rStyle w:val="Istaknuto"/>
          <w:i w:val="0"/>
        </w:rPr>
      </w:pPr>
      <w:r>
        <w:rPr>
          <w:rStyle w:val="Istaknuto"/>
          <w:i w:val="0"/>
        </w:rPr>
        <w:t>Bilješka broj 31</w:t>
      </w:r>
    </w:p>
    <w:p w14:paraId="018D5385" w14:textId="25C9C173" w:rsidR="00C06D12" w:rsidRDefault="00C06D12" w:rsidP="00F41AF6">
      <w:pPr>
        <w:rPr>
          <w:rStyle w:val="Istaknuto"/>
          <w:i w:val="0"/>
        </w:rPr>
      </w:pPr>
    </w:p>
    <w:p w14:paraId="480F3218" w14:textId="34FCB4FE" w:rsidR="00C06D12" w:rsidRDefault="00C06D12" w:rsidP="00F41AF6">
      <w:pPr>
        <w:rPr>
          <w:rStyle w:val="Istaknuto"/>
          <w:i w:val="0"/>
        </w:rPr>
      </w:pPr>
      <w:r>
        <w:rPr>
          <w:rStyle w:val="Istaknuto"/>
          <w:i w:val="0"/>
        </w:rPr>
        <w:t>3299 Ostali nespomenuti rashodi poslovanja bilježe značajan porast u 2022. godini zbog isplate potpora za mobilnost u sklopu projekta Erasmus.</w:t>
      </w:r>
    </w:p>
    <w:p w14:paraId="5DB83AC8" w14:textId="7FB3E192" w:rsidR="0070054A" w:rsidRDefault="0070054A" w:rsidP="00F41AF6">
      <w:pPr>
        <w:rPr>
          <w:rStyle w:val="Istaknuto"/>
          <w:i w:val="0"/>
        </w:rPr>
      </w:pPr>
    </w:p>
    <w:p w14:paraId="32E192DA" w14:textId="7E6692EF" w:rsidR="0070054A" w:rsidRDefault="0070054A" w:rsidP="00F41AF6">
      <w:pPr>
        <w:rPr>
          <w:rStyle w:val="Istaknuto"/>
          <w:i w:val="0"/>
        </w:rPr>
      </w:pPr>
      <w:r>
        <w:rPr>
          <w:rStyle w:val="Istaknuto"/>
          <w:i w:val="0"/>
        </w:rPr>
        <w:t>Bilješka broj 32</w:t>
      </w:r>
    </w:p>
    <w:p w14:paraId="2F5F0DCB" w14:textId="6CA0F00D" w:rsidR="00C06D12" w:rsidRDefault="00C06D12" w:rsidP="00F41AF6">
      <w:pPr>
        <w:rPr>
          <w:rStyle w:val="Istaknuto"/>
          <w:i w:val="0"/>
        </w:rPr>
      </w:pPr>
    </w:p>
    <w:p w14:paraId="75260241" w14:textId="21D3D9FB" w:rsidR="00C06D12" w:rsidRDefault="00C06D12" w:rsidP="00F41AF6">
      <w:pPr>
        <w:rPr>
          <w:rStyle w:val="Istaknuto"/>
          <w:i w:val="0"/>
        </w:rPr>
      </w:pPr>
      <w:r>
        <w:rPr>
          <w:rStyle w:val="Istaknuto"/>
          <w:i w:val="0"/>
        </w:rPr>
        <w:t>3433 Zatezne kamate bilježe pad za 66% a odnose se na plaćanja kamata po osnovi tužbi zaposlenika koje su se većim dijelom plaćale u 2021. godini.</w:t>
      </w:r>
    </w:p>
    <w:p w14:paraId="470DB650" w14:textId="77777777" w:rsidR="00304585" w:rsidRDefault="00304585" w:rsidP="00F41AF6">
      <w:pPr>
        <w:rPr>
          <w:rStyle w:val="Istaknuto"/>
          <w:i w:val="0"/>
        </w:rPr>
      </w:pPr>
    </w:p>
    <w:p w14:paraId="11F76821" w14:textId="77777777" w:rsidR="00304585" w:rsidRDefault="00304585" w:rsidP="00F41AF6">
      <w:pPr>
        <w:rPr>
          <w:rStyle w:val="Istaknuto"/>
          <w:i w:val="0"/>
        </w:rPr>
      </w:pPr>
    </w:p>
    <w:p w14:paraId="231976BC" w14:textId="0CE03FAC" w:rsidR="0070054A" w:rsidRDefault="0070054A" w:rsidP="00F41AF6">
      <w:pPr>
        <w:rPr>
          <w:rStyle w:val="Istaknuto"/>
          <w:i w:val="0"/>
        </w:rPr>
      </w:pPr>
      <w:r>
        <w:rPr>
          <w:rStyle w:val="Istaknuto"/>
          <w:i w:val="0"/>
        </w:rPr>
        <w:lastRenderedPageBreak/>
        <w:t>Bilješka broj 33</w:t>
      </w:r>
    </w:p>
    <w:p w14:paraId="294F1D0A" w14:textId="77777777" w:rsidR="0070054A" w:rsidRDefault="0070054A" w:rsidP="00F41AF6">
      <w:pPr>
        <w:rPr>
          <w:rStyle w:val="Istaknuto"/>
          <w:i w:val="0"/>
        </w:rPr>
      </w:pPr>
    </w:p>
    <w:p w14:paraId="0B553178" w14:textId="13F4B39C" w:rsidR="0070054A" w:rsidRDefault="0070054A" w:rsidP="00F41AF6">
      <w:pPr>
        <w:rPr>
          <w:rStyle w:val="Istaknuto"/>
          <w:i w:val="0"/>
        </w:rPr>
      </w:pPr>
      <w:r>
        <w:rPr>
          <w:rStyle w:val="Istaknuto"/>
          <w:i w:val="0"/>
        </w:rPr>
        <w:t>3722 Naknade građanima i kućanstvima u naravi odnose se na nabavu radnih udžbenika za učenike.</w:t>
      </w:r>
    </w:p>
    <w:p w14:paraId="2D9B2C3C" w14:textId="77777777" w:rsidR="0070054A" w:rsidRDefault="0070054A" w:rsidP="00F41AF6">
      <w:pPr>
        <w:rPr>
          <w:rStyle w:val="Istaknuto"/>
          <w:i w:val="0"/>
        </w:rPr>
      </w:pPr>
    </w:p>
    <w:p w14:paraId="6AABDEE4" w14:textId="0197A0E8" w:rsidR="0070054A" w:rsidRDefault="0070054A" w:rsidP="00F41AF6">
      <w:pPr>
        <w:rPr>
          <w:rStyle w:val="Istaknuto"/>
          <w:i w:val="0"/>
        </w:rPr>
      </w:pPr>
      <w:r>
        <w:rPr>
          <w:rStyle w:val="Istaknuto"/>
          <w:i w:val="0"/>
        </w:rPr>
        <w:t>Bilješka broj 34</w:t>
      </w:r>
    </w:p>
    <w:p w14:paraId="3104A326" w14:textId="19F3AB7F" w:rsidR="0070054A" w:rsidRDefault="0070054A" w:rsidP="00F41AF6">
      <w:pPr>
        <w:rPr>
          <w:rStyle w:val="Istaknuto"/>
          <w:i w:val="0"/>
        </w:rPr>
      </w:pPr>
    </w:p>
    <w:p w14:paraId="3406D914" w14:textId="0342F1A8" w:rsidR="0070054A" w:rsidRDefault="0070054A" w:rsidP="00F41AF6">
      <w:pPr>
        <w:rPr>
          <w:rStyle w:val="Istaknuto"/>
          <w:i w:val="0"/>
        </w:rPr>
      </w:pPr>
      <w:r>
        <w:rPr>
          <w:rStyle w:val="Istaknuto"/>
          <w:i w:val="0"/>
        </w:rPr>
        <w:t xml:space="preserve">96 Obračunati prihodi poslovanja – nenaplaćeni su najvećim dijelom nenaplaćeni prihodi za školsku kuhinju i manji su u 2022. godini jer se smanjio broj učenika. </w:t>
      </w:r>
    </w:p>
    <w:p w14:paraId="3A3D5CBA" w14:textId="5F1B113E" w:rsidR="0070054A" w:rsidRDefault="0070054A" w:rsidP="00F41AF6">
      <w:pPr>
        <w:rPr>
          <w:rStyle w:val="Istaknuto"/>
          <w:i w:val="0"/>
        </w:rPr>
      </w:pPr>
    </w:p>
    <w:p w14:paraId="2C714E97" w14:textId="24F93BE5" w:rsidR="0070054A" w:rsidRDefault="0070054A" w:rsidP="00F41AF6">
      <w:pPr>
        <w:rPr>
          <w:rStyle w:val="Istaknuto"/>
          <w:i w:val="0"/>
        </w:rPr>
      </w:pPr>
      <w:r>
        <w:rPr>
          <w:rStyle w:val="Istaknuto"/>
          <w:i w:val="0"/>
        </w:rPr>
        <w:t>Bilješka br. 35</w:t>
      </w:r>
    </w:p>
    <w:p w14:paraId="087B813C" w14:textId="77777777" w:rsidR="0070054A" w:rsidRDefault="0070054A" w:rsidP="00F41AF6">
      <w:pPr>
        <w:rPr>
          <w:rStyle w:val="Istaknuto"/>
          <w:i w:val="0"/>
        </w:rPr>
      </w:pPr>
    </w:p>
    <w:p w14:paraId="7495501B" w14:textId="14EDCE31" w:rsidR="00521AB8" w:rsidRDefault="00521AB8" w:rsidP="00F41AF6">
      <w:pPr>
        <w:rPr>
          <w:rStyle w:val="Istaknuto"/>
          <w:i w:val="0"/>
        </w:rPr>
      </w:pPr>
      <w:r>
        <w:rPr>
          <w:rStyle w:val="Istaknuto"/>
          <w:i w:val="0"/>
        </w:rPr>
        <w:t>Rashodi za n</w:t>
      </w:r>
      <w:r w:rsidR="0070054A">
        <w:rPr>
          <w:rStyle w:val="Istaknuto"/>
          <w:i w:val="0"/>
        </w:rPr>
        <w:t xml:space="preserve">abavu nefinancijske imovine su rashodi za rekonstrukciju dvorane u dvije učionice, nabavu dva prijenosna računala, četiri stolna računala, skener, namještaj za dvije učionice, opremu za uređenje okoliša škole, udžbenike te </w:t>
      </w:r>
      <w:proofErr w:type="spellStart"/>
      <w:r w:rsidR="0070054A">
        <w:rPr>
          <w:rStyle w:val="Istaknuto"/>
          <w:i w:val="0"/>
        </w:rPr>
        <w:t>lektirnu</w:t>
      </w:r>
      <w:proofErr w:type="spellEnd"/>
      <w:r w:rsidR="0070054A">
        <w:rPr>
          <w:rStyle w:val="Istaknuto"/>
          <w:i w:val="0"/>
        </w:rPr>
        <w:t xml:space="preserve"> građu.</w:t>
      </w:r>
    </w:p>
    <w:p w14:paraId="6EE874C0" w14:textId="66D3DFD6" w:rsidR="00521AB8" w:rsidRDefault="00521AB8" w:rsidP="00F41AF6">
      <w:pPr>
        <w:rPr>
          <w:rStyle w:val="Istaknuto"/>
          <w:i w:val="0"/>
        </w:rPr>
      </w:pPr>
    </w:p>
    <w:p w14:paraId="0315C65B" w14:textId="26BBF2D1" w:rsidR="00521AB8" w:rsidRDefault="00521AB8" w:rsidP="00F41AF6">
      <w:pPr>
        <w:rPr>
          <w:rStyle w:val="Istaknuto"/>
          <w:i w:val="0"/>
        </w:rPr>
      </w:pPr>
      <w:r>
        <w:rPr>
          <w:rStyle w:val="Istaknuto"/>
          <w:i w:val="0"/>
        </w:rPr>
        <w:t xml:space="preserve">Bilješka broj </w:t>
      </w:r>
      <w:r w:rsidR="00304585">
        <w:rPr>
          <w:rStyle w:val="Istaknuto"/>
          <w:i w:val="0"/>
        </w:rPr>
        <w:t>36</w:t>
      </w:r>
    </w:p>
    <w:p w14:paraId="167AC4E9" w14:textId="77777777" w:rsidR="00521AB8" w:rsidRDefault="00521AB8" w:rsidP="00F41AF6">
      <w:pPr>
        <w:rPr>
          <w:rStyle w:val="Istaknuto"/>
          <w:i w:val="0"/>
        </w:rPr>
      </w:pPr>
    </w:p>
    <w:p w14:paraId="3BA950DC" w14:textId="0A07AF46" w:rsidR="003A5D4E" w:rsidRPr="00935D20" w:rsidRDefault="00A66226" w:rsidP="00F41AF6">
      <w:pPr>
        <w:rPr>
          <w:rStyle w:val="Istaknuto"/>
          <w:i w:val="0"/>
        </w:rPr>
      </w:pPr>
      <w:r>
        <w:rPr>
          <w:rStyle w:val="Istaknuto"/>
          <w:i w:val="0"/>
        </w:rPr>
        <w:t>Manjak</w:t>
      </w:r>
      <w:r w:rsidR="005B1F51">
        <w:rPr>
          <w:rStyle w:val="Istaknuto"/>
          <w:i w:val="0"/>
        </w:rPr>
        <w:t xml:space="preserve"> prihoda i primitaka </w:t>
      </w:r>
      <w:r>
        <w:rPr>
          <w:rStyle w:val="Istaknuto"/>
          <w:i w:val="0"/>
        </w:rPr>
        <w:t>za pokriće</w:t>
      </w:r>
      <w:r w:rsidR="005B1F51">
        <w:rPr>
          <w:rStyle w:val="Istaknuto"/>
          <w:i w:val="0"/>
        </w:rPr>
        <w:t xml:space="preserve"> u slijedećem razdoblju nakon prenesenog </w:t>
      </w:r>
      <w:r w:rsidR="004C06E1">
        <w:rPr>
          <w:rStyle w:val="Istaknuto"/>
          <w:i w:val="0"/>
        </w:rPr>
        <w:t>manjka</w:t>
      </w:r>
      <w:r w:rsidR="005B1F51">
        <w:rPr>
          <w:rStyle w:val="Istaknuto"/>
          <w:i w:val="0"/>
        </w:rPr>
        <w:t xml:space="preserve"> iz 20</w:t>
      </w:r>
      <w:r w:rsidR="0070054A">
        <w:rPr>
          <w:rStyle w:val="Istaknuto"/>
          <w:i w:val="0"/>
        </w:rPr>
        <w:t>21</w:t>
      </w:r>
      <w:r w:rsidR="005B1F51">
        <w:rPr>
          <w:rStyle w:val="Istaknuto"/>
          <w:i w:val="0"/>
        </w:rPr>
        <w:t>. godine</w:t>
      </w:r>
      <w:r w:rsidR="00EE6D36">
        <w:rPr>
          <w:rStyle w:val="Istaknuto"/>
          <w:i w:val="0"/>
        </w:rPr>
        <w:t xml:space="preserve"> </w:t>
      </w:r>
      <w:r w:rsidR="005B1F51">
        <w:rPr>
          <w:rStyle w:val="Istaknuto"/>
          <w:i w:val="0"/>
        </w:rPr>
        <w:t>(</w:t>
      </w:r>
      <w:r w:rsidR="0070054A">
        <w:rPr>
          <w:rStyle w:val="Istaknuto"/>
          <w:i w:val="0"/>
        </w:rPr>
        <w:t>181.563,80</w:t>
      </w:r>
      <w:r w:rsidR="00521AB8">
        <w:rPr>
          <w:rStyle w:val="Istaknuto"/>
          <w:i w:val="0"/>
        </w:rPr>
        <w:t xml:space="preserve"> kn</w:t>
      </w:r>
      <w:r w:rsidR="005B1F51">
        <w:rPr>
          <w:rStyle w:val="Istaknuto"/>
          <w:i w:val="0"/>
        </w:rPr>
        <w:t xml:space="preserve">) iznosi </w:t>
      </w:r>
      <w:r w:rsidR="0070054A">
        <w:rPr>
          <w:rStyle w:val="Istaknuto"/>
          <w:i w:val="0"/>
        </w:rPr>
        <w:t>23.835,54</w:t>
      </w:r>
      <w:r w:rsidR="003A5D4E">
        <w:rPr>
          <w:rStyle w:val="Istaknuto"/>
          <w:i w:val="0"/>
        </w:rPr>
        <w:t xml:space="preserve"> a čine ga:</w:t>
      </w:r>
    </w:p>
    <w:p w14:paraId="698FE462" w14:textId="77777777" w:rsidR="0004014A" w:rsidRPr="00935D20" w:rsidRDefault="0004014A" w:rsidP="00F41AF6"/>
    <w:p w14:paraId="503962FC" w14:textId="77777777" w:rsidR="0004014A" w:rsidRPr="00935D20" w:rsidRDefault="0004014A" w:rsidP="00F41A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3"/>
        <w:gridCol w:w="1561"/>
      </w:tblGrid>
      <w:tr w:rsidR="0004014A" w:rsidRPr="00935D20" w14:paraId="7C7E85CF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027" w14:textId="77777777" w:rsidR="0004014A" w:rsidRPr="00935D20" w:rsidRDefault="0004014A" w:rsidP="00F41AF6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F381" w14:textId="77777777" w:rsidR="0004014A" w:rsidRPr="00935D20" w:rsidRDefault="0004014A" w:rsidP="00F41AF6">
            <w:r w:rsidRPr="00935D20">
              <w:t>iznos</w:t>
            </w:r>
          </w:p>
        </w:tc>
      </w:tr>
      <w:tr w:rsidR="0004014A" w:rsidRPr="00935D20" w14:paraId="259D375D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5069" w14:textId="77777777" w:rsidR="0004014A" w:rsidRPr="00935D20" w:rsidRDefault="00EE6D36" w:rsidP="00F41AF6">
            <w:r>
              <w:t xml:space="preserve">Školska kuhinja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8982" w14:textId="6F9E7037" w:rsidR="009F7ECB" w:rsidRPr="00180E9E" w:rsidRDefault="00B269F4" w:rsidP="009F7ECB">
            <w:pPr>
              <w:jc w:val="right"/>
            </w:pPr>
            <w:r>
              <w:t>123.835,35</w:t>
            </w:r>
          </w:p>
        </w:tc>
      </w:tr>
      <w:tr w:rsidR="00AE7DC6" w:rsidRPr="00935D20" w14:paraId="10DEE04D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5EDC" w14:textId="77777777" w:rsidR="00AE7DC6" w:rsidRDefault="00AE7DC6" w:rsidP="00F41AF6">
            <w:r>
              <w:t>Erasmus + K2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C32A" w14:textId="4A2ACA8E" w:rsidR="00AE7DC6" w:rsidRPr="00180E9E" w:rsidRDefault="00B269F4" w:rsidP="00F05B3A">
            <w:pPr>
              <w:jc w:val="right"/>
            </w:pPr>
            <w:r>
              <w:t>38.940,00</w:t>
            </w:r>
          </w:p>
        </w:tc>
      </w:tr>
      <w:tr w:rsidR="0004014A" w:rsidRPr="00935D20" w14:paraId="0C7E74DE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ACBC" w14:textId="77777777" w:rsidR="0004014A" w:rsidRPr="00935D20" w:rsidRDefault="0004014A" w:rsidP="00F41AF6">
            <w:proofErr w:type="spellStart"/>
            <w:r w:rsidRPr="00935D20">
              <w:t>unijapapir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C10" w14:textId="2225A3A5" w:rsidR="004C2570" w:rsidRPr="00180E9E" w:rsidRDefault="00B269F4" w:rsidP="004C2570">
            <w:pPr>
              <w:jc w:val="right"/>
            </w:pPr>
            <w:r>
              <w:t>10.124,46</w:t>
            </w:r>
          </w:p>
        </w:tc>
      </w:tr>
      <w:tr w:rsidR="0004014A" w:rsidRPr="00935D20" w14:paraId="729EE745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1049" w14:textId="7DA1EE3C" w:rsidR="0004014A" w:rsidRPr="00935D20" w:rsidRDefault="0004014A" w:rsidP="00F41AF6">
            <w:r w:rsidRPr="00935D20">
              <w:t>Školska zadruga Đurđica</w:t>
            </w:r>
            <w:r w:rsidR="009357EE"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9DBC" w14:textId="5A4465F7" w:rsidR="0004014A" w:rsidRPr="00180E9E" w:rsidRDefault="00B269F4" w:rsidP="00F05B3A">
            <w:pPr>
              <w:jc w:val="right"/>
            </w:pPr>
            <w:r>
              <w:t>1.494,73</w:t>
            </w:r>
          </w:p>
        </w:tc>
      </w:tr>
      <w:tr w:rsidR="0004014A" w:rsidRPr="00935D20" w14:paraId="1DD38B95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4830" w14:textId="77777777" w:rsidR="0004014A" w:rsidRPr="00935D20" w:rsidRDefault="0004014A" w:rsidP="00F41AF6">
            <w:r w:rsidRPr="00935D20">
              <w:t>Donacija Euroherc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4F9A" w14:textId="6249B68F" w:rsidR="0004014A" w:rsidRPr="00180E9E" w:rsidRDefault="00B269F4" w:rsidP="00F05B3A">
            <w:pPr>
              <w:jc w:val="right"/>
            </w:pPr>
            <w:r>
              <w:t>10.434,31</w:t>
            </w:r>
          </w:p>
        </w:tc>
      </w:tr>
      <w:tr w:rsidR="009357EE" w:rsidRPr="00935D20" w14:paraId="382EFE3E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59B3" w14:textId="79577C9A" w:rsidR="009357EE" w:rsidRPr="00935D20" w:rsidRDefault="009357EE" w:rsidP="00F41AF6">
            <w:r>
              <w:t>Neutrošena sredstva voditelja ŽSV-a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0E15" w14:textId="4A9233C2" w:rsidR="009357EE" w:rsidRPr="00180E9E" w:rsidRDefault="00B269F4" w:rsidP="00F05B3A">
            <w:pPr>
              <w:jc w:val="right"/>
            </w:pPr>
            <w:r>
              <w:t>9.787,44</w:t>
            </w:r>
          </w:p>
        </w:tc>
      </w:tr>
      <w:tr w:rsidR="00B269F4" w:rsidRPr="00935D20" w14:paraId="2A4443AA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1A01" w14:textId="5A206325" w:rsidR="00B269F4" w:rsidRDefault="00B269F4" w:rsidP="00F41AF6">
            <w:r>
              <w:t>Županija za natjecanja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6159" w14:textId="4F0D2EB3" w:rsidR="00B269F4" w:rsidRDefault="00B269F4" w:rsidP="00F05B3A">
            <w:pPr>
              <w:jc w:val="right"/>
            </w:pPr>
            <w:r>
              <w:t>1.236,05</w:t>
            </w:r>
          </w:p>
        </w:tc>
      </w:tr>
      <w:tr w:rsidR="00B269F4" w:rsidRPr="00935D20" w14:paraId="49D5B628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1ED2" w14:textId="616E71E5" w:rsidR="00B269F4" w:rsidRDefault="00B269F4" w:rsidP="00F41AF6">
            <w:r>
              <w:t xml:space="preserve">Projekt </w:t>
            </w:r>
            <w:r w:rsidR="00304585">
              <w:t>za provođenje</w:t>
            </w:r>
            <w:r>
              <w:t xml:space="preserve"> izvannastavnih aktivnosti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4DDD" w14:textId="7A307713" w:rsidR="00B269F4" w:rsidRDefault="00B269F4" w:rsidP="00F05B3A">
            <w:pPr>
              <w:jc w:val="right"/>
            </w:pPr>
            <w:r>
              <w:t>11.000,00</w:t>
            </w:r>
          </w:p>
        </w:tc>
      </w:tr>
      <w:tr w:rsidR="0004014A" w:rsidRPr="00935D20" w14:paraId="25BBFED2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CC26" w14:textId="20B3046B" w:rsidR="0004014A" w:rsidRPr="00935D20" w:rsidRDefault="00AE7DC6" w:rsidP="00F41AF6">
            <w:r>
              <w:t>Manjak – nacionalno sufinanciranje (pomoćnici u nastavi)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C804" w14:textId="53451418" w:rsidR="0004014A" w:rsidRPr="00180E9E" w:rsidRDefault="00B269F4" w:rsidP="00F05B3A">
            <w:pPr>
              <w:jc w:val="right"/>
            </w:pPr>
            <w:r>
              <w:t>-3.691,65</w:t>
            </w:r>
          </w:p>
        </w:tc>
      </w:tr>
      <w:tr w:rsidR="00A37272" w:rsidRPr="00935D20" w14:paraId="25B64F04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8F10" w14:textId="25262C5C" w:rsidR="00A37272" w:rsidRPr="00935D20" w:rsidRDefault="00B269F4" w:rsidP="00F41AF6">
            <w:r>
              <w:t>Nadležni proračun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2B4E" w14:textId="44808FC0" w:rsidR="00A37272" w:rsidRPr="00180E9E" w:rsidRDefault="00B269F4" w:rsidP="00E13A0B">
            <w:pPr>
              <w:jc w:val="right"/>
            </w:pPr>
            <w:r>
              <w:t>-9.895,95</w:t>
            </w:r>
          </w:p>
        </w:tc>
      </w:tr>
      <w:tr w:rsidR="0004014A" w:rsidRPr="00935D20" w14:paraId="6861ABA4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E0C8" w14:textId="131799C9" w:rsidR="0004014A" w:rsidRPr="00935D20" w:rsidRDefault="0004014A" w:rsidP="00F41AF6">
            <w:r w:rsidRPr="00935D20">
              <w:t>Pomoćnik u nastavi – projekt Odjek</w:t>
            </w:r>
            <w:r w:rsidR="00F05B3A">
              <w:t xml:space="preserve"> </w:t>
            </w:r>
            <w:r w:rsidR="00521AB8">
              <w:t>V</w:t>
            </w:r>
            <w:r w:rsidR="00A37272">
              <w:t xml:space="preserve"> - EU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1B6B" w14:textId="1DBF553A" w:rsidR="0004014A" w:rsidRPr="00180E9E" w:rsidRDefault="00C372D2" w:rsidP="00C372D2">
            <w:pPr>
              <w:jc w:val="center"/>
            </w:pPr>
            <w:r w:rsidRPr="00180E9E">
              <w:t>-</w:t>
            </w:r>
            <w:r w:rsidR="00B269F4">
              <w:t>20.446,02</w:t>
            </w:r>
          </w:p>
        </w:tc>
      </w:tr>
      <w:tr w:rsidR="0004014A" w:rsidRPr="00935D20" w14:paraId="28C883BC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8F45" w14:textId="77777777" w:rsidR="0004014A" w:rsidRPr="00935D20" w:rsidRDefault="007B4FAA" w:rsidP="00F41AF6">
            <w:r w:rsidRPr="00935D20">
              <w:t xml:space="preserve">Decentralizacija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F1A1" w14:textId="43D5B0D6" w:rsidR="0004014A" w:rsidRPr="00180E9E" w:rsidRDefault="009357EE" w:rsidP="00A37272">
            <w:pPr>
              <w:jc w:val="right"/>
            </w:pPr>
            <w:r w:rsidRPr="00180E9E">
              <w:t>-</w:t>
            </w:r>
            <w:r w:rsidR="00B269F4">
              <w:t>149.897,90</w:t>
            </w:r>
          </w:p>
        </w:tc>
      </w:tr>
      <w:tr w:rsidR="009357EE" w:rsidRPr="00935D20" w14:paraId="5BD13FFF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133F" w14:textId="12D753FC" w:rsidR="009357EE" w:rsidRDefault="00367E13" w:rsidP="00F41AF6">
            <w:r>
              <w:t>Manjak prihoda za isplate po sudskim presudama i testiranje zaposlenika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1E2C" w14:textId="4215720E" w:rsidR="009357EE" w:rsidRPr="00180E9E" w:rsidRDefault="00367E13" w:rsidP="00F05B3A">
            <w:pPr>
              <w:jc w:val="right"/>
            </w:pPr>
            <w:r w:rsidRPr="00180E9E">
              <w:t>-</w:t>
            </w:r>
            <w:r w:rsidR="00B269F4">
              <w:t>25.473,18</w:t>
            </w:r>
          </w:p>
        </w:tc>
      </w:tr>
      <w:tr w:rsidR="003301CC" w:rsidRPr="00935D20" w14:paraId="7EC4B05E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50D1" w14:textId="634A1005" w:rsidR="003301CC" w:rsidRDefault="003301CC" w:rsidP="00F41AF6">
            <w:r>
              <w:t>Manjak prihoda za nabavu udžbenika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1FAA" w14:textId="0EE7C4A7" w:rsidR="003301CC" w:rsidRPr="00180E9E" w:rsidRDefault="00B269F4" w:rsidP="00F05B3A">
            <w:pPr>
              <w:jc w:val="right"/>
            </w:pPr>
            <w:r>
              <w:t>-6.024,56</w:t>
            </w:r>
          </w:p>
        </w:tc>
      </w:tr>
      <w:tr w:rsidR="00367E13" w:rsidRPr="00935D20" w14:paraId="1B37C7B1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C05D" w14:textId="416281D2" w:rsidR="00367E13" w:rsidRDefault="00367E13" w:rsidP="00F41AF6">
            <w:r>
              <w:t>Manjak – režije za dvoranu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7C5D" w14:textId="25CEF640" w:rsidR="00367E13" w:rsidRPr="00180E9E" w:rsidRDefault="00367E13" w:rsidP="00F05B3A">
            <w:pPr>
              <w:jc w:val="right"/>
            </w:pPr>
            <w:r w:rsidRPr="00180E9E">
              <w:t>-</w:t>
            </w:r>
            <w:r w:rsidR="00B269F4">
              <w:t>10.621,12</w:t>
            </w:r>
          </w:p>
        </w:tc>
      </w:tr>
      <w:tr w:rsidR="003301CC" w:rsidRPr="00935D20" w14:paraId="552683BF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30C6" w14:textId="2A47F676" w:rsidR="003301CC" w:rsidRDefault="003301CC" w:rsidP="00F41AF6">
            <w:r>
              <w:t>Manjak prihoda za popravak tableta učenika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EF19" w14:textId="7B7F4BFC" w:rsidR="003301CC" w:rsidRPr="00180E9E" w:rsidRDefault="003301CC" w:rsidP="00F05B3A">
            <w:pPr>
              <w:jc w:val="right"/>
            </w:pPr>
            <w:r w:rsidRPr="00180E9E">
              <w:t>-</w:t>
            </w:r>
            <w:r w:rsidR="00B269F4">
              <w:t>4.637,50</w:t>
            </w:r>
          </w:p>
        </w:tc>
      </w:tr>
    </w:tbl>
    <w:p w14:paraId="1E4E6243" w14:textId="77777777" w:rsidR="00BC6F06" w:rsidRDefault="00BC6F06" w:rsidP="00F41AF6"/>
    <w:p w14:paraId="3F33320A" w14:textId="26B8D22F" w:rsidR="0004014A" w:rsidRDefault="0004014A" w:rsidP="00F41AF6"/>
    <w:p w14:paraId="1B641584" w14:textId="699A2485" w:rsidR="00304585" w:rsidRDefault="00304585" w:rsidP="00F41AF6"/>
    <w:p w14:paraId="5977EBAA" w14:textId="6898C16E" w:rsidR="00304585" w:rsidRDefault="00304585" w:rsidP="00F41AF6"/>
    <w:p w14:paraId="47418FA6" w14:textId="3930A25B" w:rsidR="00304585" w:rsidRDefault="00304585" w:rsidP="00F41AF6"/>
    <w:p w14:paraId="19D148BD" w14:textId="77777777" w:rsidR="00304585" w:rsidRPr="00935D20" w:rsidRDefault="00304585" w:rsidP="00F41AF6"/>
    <w:p w14:paraId="2A1389FE" w14:textId="77777777" w:rsidR="0004014A" w:rsidRPr="00935D20" w:rsidRDefault="0004014A" w:rsidP="00B61C9E">
      <w:pPr>
        <w:jc w:val="center"/>
      </w:pPr>
    </w:p>
    <w:p w14:paraId="6933C9BB" w14:textId="77777777" w:rsidR="00304585" w:rsidRDefault="00304585" w:rsidP="00D20D86">
      <w:pPr>
        <w:rPr>
          <w:b/>
          <w:bCs/>
        </w:rPr>
      </w:pPr>
    </w:p>
    <w:p w14:paraId="4AA19F61" w14:textId="5B6267C5" w:rsidR="0004014A" w:rsidRPr="00D20D86" w:rsidRDefault="0004014A" w:rsidP="00D20D86">
      <w:pPr>
        <w:rPr>
          <w:b/>
          <w:bCs/>
        </w:rPr>
      </w:pPr>
      <w:r w:rsidRPr="00D20D86">
        <w:rPr>
          <w:b/>
          <w:bCs/>
        </w:rPr>
        <w:lastRenderedPageBreak/>
        <w:t>BILJEŠKE UZ OBRAZAC BIL</w:t>
      </w:r>
    </w:p>
    <w:p w14:paraId="18718497" w14:textId="77777777" w:rsidR="0004014A" w:rsidRPr="00935D20" w:rsidRDefault="0004014A" w:rsidP="00F41AF6"/>
    <w:p w14:paraId="3F6DCB0A" w14:textId="74A150C6" w:rsidR="00180E9E" w:rsidRDefault="00FC4EC3" w:rsidP="00A92BED">
      <w:pPr>
        <w:numPr>
          <w:ilvl w:val="0"/>
          <w:numId w:val="2"/>
        </w:numPr>
      </w:pPr>
      <w:r>
        <w:t>011 Materijalna imovina bilježi pad za 13,3% zbog prijenosa zemljišta na Grad Koprivnicu zbog zatvaranja područne škole.</w:t>
      </w:r>
    </w:p>
    <w:p w14:paraId="2ACAA423" w14:textId="77777777" w:rsidR="005B4E15" w:rsidRDefault="005B4E15" w:rsidP="005B4E15">
      <w:pPr>
        <w:ind w:left="720"/>
      </w:pPr>
    </w:p>
    <w:p w14:paraId="59464926" w14:textId="0CE375E1" w:rsidR="005B4E15" w:rsidRPr="00935D20" w:rsidRDefault="00FC4EC3" w:rsidP="00FC4EC3">
      <w:pPr>
        <w:numPr>
          <w:ilvl w:val="0"/>
          <w:numId w:val="2"/>
        </w:numPr>
      </w:pPr>
      <w:r>
        <w:t xml:space="preserve">0212 Poslovni objekti bilježe pad za 16,2% također zbog prijenosa zgrade područne škole na Grad Koprivnicu zbog proširenja vrtića. Zbog </w:t>
      </w:r>
      <w:proofErr w:type="spellStart"/>
      <w:r>
        <w:t>isknjiženja</w:t>
      </w:r>
      <w:proofErr w:type="spellEnd"/>
      <w:r>
        <w:t xml:space="preserve"> smanjuje se i ispravak vrijednosti građevinskih objekata.</w:t>
      </w:r>
    </w:p>
    <w:p w14:paraId="72F011A4" w14:textId="72DECA40" w:rsidR="00D76028" w:rsidRDefault="00FC4EC3" w:rsidP="008B688C">
      <w:pPr>
        <w:numPr>
          <w:ilvl w:val="0"/>
          <w:numId w:val="2"/>
        </w:numPr>
      </w:pPr>
      <w:r>
        <w:t>0221 Uredska oprema i namještaj bilježi porast za 2,2% zbog nabave računalne opreme i namještaja za učionice.</w:t>
      </w:r>
    </w:p>
    <w:p w14:paraId="443832F7" w14:textId="77777777" w:rsidR="005B4E15" w:rsidRDefault="005B4E15" w:rsidP="005B4E15">
      <w:pPr>
        <w:ind w:left="720"/>
      </w:pPr>
    </w:p>
    <w:p w14:paraId="3D5351DF" w14:textId="41A4F947" w:rsidR="005B4E15" w:rsidRPr="00935D20" w:rsidRDefault="00FC4EC3" w:rsidP="008B688C">
      <w:pPr>
        <w:numPr>
          <w:ilvl w:val="0"/>
          <w:numId w:val="2"/>
        </w:numPr>
      </w:pPr>
      <w:r>
        <w:t xml:space="preserve">0227 Uređaji, strojevi i oprema za ostale namjene bilježi pad za 27,1% zbog otpisa i </w:t>
      </w:r>
      <w:proofErr w:type="spellStart"/>
      <w:r>
        <w:t>isknjiženja</w:t>
      </w:r>
      <w:proofErr w:type="spellEnd"/>
      <w:r>
        <w:t xml:space="preserve"> opreme koja više nije u upotrebi.</w:t>
      </w:r>
    </w:p>
    <w:p w14:paraId="7EE1A3EE" w14:textId="77777777" w:rsidR="0004014A" w:rsidRPr="00935D20" w:rsidRDefault="0004014A" w:rsidP="008B688C">
      <w:pPr>
        <w:pStyle w:val="Odlomakpopisa1"/>
      </w:pPr>
    </w:p>
    <w:p w14:paraId="315ADC45" w14:textId="1E280942" w:rsidR="0004014A" w:rsidRDefault="00FC4EC3" w:rsidP="008B688C">
      <w:pPr>
        <w:numPr>
          <w:ilvl w:val="0"/>
          <w:numId w:val="2"/>
        </w:numPr>
      </w:pPr>
      <w:r>
        <w:t xml:space="preserve">0241 Knjige bilježe lagani porast za 1,5% zbog nabave udžbenika i </w:t>
      </w:r>
      <w:proofErr w:type="spellStart"/>
      <w:r>
        <w:t>lektirne</w:t>
      </w:r>
      <w:proofErr w:type="spellEnd"/>
      <w:r>
        <w:t xml:space="preserve"> građe.</w:t>
      </w:r>
    </w:p>
    <w:p w14:paraId="61261F90" w14:textId="77777777" w:rsidR="005B4E15" w:rsidRDefault="005B4E15" w:rsidP="005B4E15">
      <w:pPr>
        <w:pStyle w:val="Odlomakpopisa"/>
      </w:pPr>
    </w:p>
    <w:p w14:paraId="7F4DA7AA" w14:textId="0FF17BE5" w:rsidR="005B4E15" w:rsidRDefault="00FC4EC3" w:rsidP="008B688C">
      <w:pPr>
        <w:numPr>
          <w:ilvl w:val="0"/>
          <w:numId w:val="2"/>
        </w:numPr>
      </w:pPr>
      <w:r>
        <w:t>129 Ostala potraživanja bilježe pad za 29,8% zbog zatvaranja potraživanja za naknade za bolovanje.</w:t>
      </w:r>
    </w:p>
    <w:p w14:paraId="310ECAD3" w14:textId="77777777" w:rsidR="003168D8" w:rsidRDefault="003168D8" w:rsidP="003168D8">
      <w:pPr>
        <w:pStyle w:val="Odlomakpopisa"/>
      </w:pPr>
    </w:p>
    <w:p w14:paraId="5D7A1F47" w14:textId="0470BD86" w:rsidR="003168D8" w:rsidRDefault="001F7D2C" w:rsidP="008B688C">
      <w:pPr>
        <w:numPr>
          <w:ilvl w:val="0"/>
          <w:numId w:val="2"/>
        </w:numPr>
      </w:pPr>
      <w:r>
        <w:t>165 Potraživanja za upravne i administrativne pristojbe, pristojbe po posebnim propisima i naknade bilježe pad za 14,1% zbog manjih potraživanja za školsku kuhinju jer smo zbog smanjenja broja učenika izdavali i manje računa.</w:t>
      </w:r>
    </w:p>
    <w:p w14:paraId="08410653" w14:textId="77777777" w:rsidR="003168D8" w:rsidRDefault="003168D8" w:rsidP="003168D8">
      <w:pPr>
        <w:pStyle w:val="Odlomakpopisa"/>
      </w:pPr>
    </w:p>
    <w:p w14:paraId="296AFB8D" w14:textId="0A1A017F" w:rsidR="003168D8" w:rsidRDefault="001F7D2C" w:rsidP="008B688C">
      <w:pPr>
        <w:numPr>
          <w:ilvl w:val="0"/>
          <w:numId w:val="2"/>
        </w:numPr>
      </w:pPr>
      <w:r>
        <w:t xml:space="preserve">167 Potraživanje proračunskih korisnika za sredstva uplaćena u nadležni proračun  bilježe porast za 586,6%. U 2021. godini potraživanja su bila manja zbog isplata po sudskim presudama za koje je prihod naknadno ostvaren. U 2022. godini imali smo manje plaćanja koja su </w:t>
      </w:r>
      <w:proofErr w:type="spellStart"/>
      <w:r>
        <w:t>predfinancirana</w:t>
      </w:r>
      <w:proofErr w:type="spellEnd"/>
      <w:r>
        <w:t xml:space="preserve">  i za koja će se prihod naknadno ostvariti.</w:t>
      </w:r>
    </w:p>
    <w:p w14:paraId="4B5CB4AF" w14:textId="77777777" w:rsidR="003168D8" w:rsidRDefault="003168D8" w:rsidP="003168D8">
      <w:pPr>
        <w:pStyle w:val="Odlomakpopisa"/>
      </w:pPr>
    </w:p>
    <w:p w14:paraId="674E8BF9" w14:textId="1EFD498E" w:rsidR="003168D8" w:rsidRPr="00935D20" w:rsidRDefault="001F7D2C" w:rsidP="008B688C">
      <w:pPr>
        <w:numPr>
          <w:ilvl w:val="0"/>
          <w:numId w:val="2"/>
        </w:numPr>
      </w:pPr>
      <w:r>
        <w:t>193 Kontinuirani rashodi budućih razdoblja manji su za 35,5% zbog smanjenja broja zaposlenih.</w:t>
      </w:r>
    </w:p>
    <w:p w14:paraId="452E4F36" w14:textId="77777777" w:rsidR="00C43F49" w:rsidRDefault="00C43F49" w:rsidP="00AE7385"/>
    <w:p w14:paraId="1CA1AE20" w14:textId="18C06AE0" w:rsidR="00C43F49" w:rsidRDefault="00772253" w:rsidP="00C43F49">
      <w:pPr>
        <w:numPr>
          <w:ilvl w:val="0"/>
          <w:numId w:val="2"/>
        </w:numPr>
      </w:pPr>
      <w:r>
        <w:t>231 Obveze za zaposlene bilježe pad za 34,9% zbog smanjenja broja zaposlenih.</w:t>
      </w:r>
    </w:p>
    <w:p w14:paraId="01A1BD7F" w14:textId="77777777" w:rsidR="00C43F49" w:rsidRDefault="00C43F49" w:rsidP="00C43F49">
      <w:pPr>
        <w:pStyle w:val="Odlomakpopisa"/>
      </w:pPr>
    </w:p>
    <w:p w14:paraId="34EF69A2" w14:textId="47C98304" w:rsidR="00C43F49" w:rsidRDefault="00BE2F58" w:rsidP="00C43F49">
      <w:pPr>
        <w:numPr>
          <w:ilvl w:val="0"/>
          <w:numId w:val="2"/>
        </w:numPr>
      </w:pPr>
      <w:r>
        <w:t>232</w:t>
      </w:r>
      <w:r w:rsidR="00772253">
        <w:t xml:space="preserve"> Obveze za materijalne rashode veće su za 16,3% zbog zakašnjelih računa za plin za listopad i studeni koji su poslani tek krajem prosinca.</w:t>
      </w:r>
    </w:p>
    <w:p w14:paraId="5FB4440B" w14:textId="77777777" w:rsidR="00F74DDA" w:rsidRDefault="00F74DDA" w:rsidP="00F74DDA">
      <w:pPr>
        <w:pStyle w:val="Odlomakpopisa"/>
      </w:pPr>
    </w:p>
    <w:p w14:paraId="21A33752" w14:textId="471BB2F1" w:rsidR="00F74DDA" w:rsidRDefault="00BE2F58" w:rsidP="00C43F49">
      <w:pPr>
        <w:numPr>
          <w:ilvl w:val="0"/>
          <w:numId w:val="2"/>
        </w:numPr>
      </w:pPr>
      <w:r>
        <w:t>239 Ostale tekuće obveze su najvećim dijelom obveze za bolovanje.</w:t>
      </w:r>
    </w:p>
    <w:p w14:paraId="24DB7F75" w14:textId="77777777" w:rsidR="002E0AC6" w:rsidRDefault="002E0AC6" w:rsidP="002E0AC6">
      <w:pPr>
        <w:pStyle w:val="Odlomakpopisa"/>
      </w:pPr>
    </w:p>
    <w:p w14:paraId="5DA1D7AA" w14:textId="380727DB" w:rsidR="002E0AC6" w:rsidRDefault="00BE2F58" w:rsidP="00C43F49">
      <w:pPr>
        <w:numPr>
          <w:ilvl w:val="0"/>
          <w:numId w:val="2"/>
        </w:numPr>
      </w:pPr>
      <w:r>
        <w:t>24 Obveze za nabavu nefinancijske imovine manje su za 62%, a radi se o obvezama za knjige za školsku knjižnicu.</w:t>
      </w:r>
    </w:p>
    <w:p w14:paraId="1E08550D" w14:textId="77777777" w:rsidR="00BE2F58" w:rsidRDefault="00BE2F58" w:rsidP="00BE2F58">
      <w:pPr>
        <w:pStyle w:val="Odlomakpopisa"/>
      </w:pPr>
    </w:p>
    <w:p w14:paraId="0590C5FE" w14:textId="749E4C25" w:rsidR="00BE2F58" w:rsidRDefault="00BE2F58" w:rsidP="00C43F49">
      <w:pPr>
        <w:numPr>
          <w:ilvl w:val="0"/>
          <w:numId w:val="2"/>
        </w:numPr>
      </w:pPr>
      <w:r>
        <w:t>9111 Vlastiti izvori iz proračuna manji su u 2022. godini za 21,6% zbog prijenosa zemljišta i zgrade</w:t>
      </w:r>
      <w:r w:rsidR="00861847">
        <w:t xml:space="preserve"> područne škole na Grad Koprivnicu te opreme iz školske kuhinje u područnoj školi na vrtić.</w:t>
      </w:r>
    </w:p>
    <w:p w14:paraId="4F8E68DE" w14:textId="77777777" w:rsidR="00861847" w:rsidRDefault="00861847" w:rsidP="00861847">
      <w:pPr>
        <w:pStyle w:val="Odlomakpopisa"/>
      </w:pPr>
    </w:p>
    <w:p w14:paraId="1CC7EA29" w14:textId="632E0C64" w:rsidR="0047496F" w:rsidRDefault="00861847" w:rsidP="00304585">
      <w:pPr>
        <w:numPr>
          <w:ilvl w:val="0"/>
          <w:numId w:val="2"/>
        </w:numPr>
      </w:pPr>
      <w:r>
        <w:t xml:space="preserve">Na kraju 2022. godine Škola je ostvarila manjak prihoda poslovanja u iznosu 21.818,19 kn i to je metodološki manjak koji će se pokriti plaćanjem računa i refundacijom sredstava za nabavu udžbenika i isplate po sudskim presudama i manjak prihoda od nefinancijske imovine u iznosu 2.017,35 kn koji imamo zbog nabave udžbenika a pokrit će se refundacijom sredstava iz MZO-a. </w:t>
      </w:r>
    </w:p>
    <w:p w14:paraId="5AF5A500" w14:textId="625098A5" w:rsidR="0047496F" w:rsidRDefault="0047496F" w:rsidP="00C43F49">
      <w:pPr>
        <w:numPr>
          <w:ilvl w:val="0"/>
          <w:numId w:val="2"/>
        </w:numPr>
      </w:pPr>
      <w:r>
        <w:lastRenderedPageBreak/>
        <w:t>Na kraju 2022. godine Škola nema dospjelih obveza, a dospjela potraživanja su potraživanja za školsku kuhinju.</w:t>
      </w:r>
    </w:p>
    <w:p w14:paraId="0D8E145E" w14:textId="49C6569C" w:rsidR="00A25486" w:rsidRDefault="00A25486" w:rsidP="00A25486">
      <w:pPr>
        <w:pStyle w:val="Odlomakpopisa"/>
      </w:pPr>
    </w:p>
    <w:p w14:paraId="2C27DD6E" w14:textId="77777777" w:rsidR="0004014A" w:rsidRPr="00935D20" w:rsidRDefault="0004014A"/>
    <w:p w14:paraId="10669C8E" w14:textId="77777777" w:rsidR="0004014A" w:rsidRPr="00837FCA" w:rsidRDefault="0004014A" w:rsidP="00837FCA">
      <w:pPr>
        <w:rPr>
          <w:b/>
          <w:bCs/>
        </w:rPr>
      </w:pPr>
      <w:r w:rsidRPr="00837FCA">
        <w:rPr>
          <w:b/>
          <w:bCs/>
        </w:rPr>
        <w:t>BILJEŠKE UZ OBRAZAC RAS-FUNKCIJSKI</w:t>
      </w:r>
    </w:p>
    <w:p w14:paraId="09572C1D" w14:textId="77777777" w:rsidR="0004014A" w:rsidRPr="00935D20" w:rsidRDefault="0004014A" w:rsidP="00BE668E">
      <w:pPr>
        <w:jc w:val="center"/>
      </w:pPr>
    </w:p>
    <w:p w14:paraId="70441785" w14:textId="77777777" w:rsidR="001A16D4" w:rsidRDefault="001A16D4" w:rsidP="001A16D4"/>
    <w:p w14:paraId="7F4731FD" w14:textId="15BD0681" w:rsidR="00B40869" w:rsidRDefault="0047496F" w:rsidP="001A16D4">
      <w:r>
        <w:t>096</w:t>
      </w:r>
      <w:r w:rsidR="000C456F">
        <w:t xml:space="preserve"> Dodatne usluge u obrazovanju prikazuju rashode za školsku kuhinju</w:t>
      </w:r>
      <w:r w:rsidR="00A0362F">
        <w:t xml:space="preserve">, rashode proizašlih iz projekta Shema voća i mlijeka </w:t>
      </w:r>
      <w:r w:rsidR="000C456F">
        <w:t>i rashode za prijevoz učenika</w:t>
      </w:r>
      <w:r w:rsidR="002E0AC6">
        <w:t xml:space="preserve">, a </w:t>
      </w:r>
      <w:r>
        <w:t>manji</w:t>
      </w:r>
      <w:r w:rsidR="002E0AC6">
        <w:t xml:space="preserve"> su za </w:t>
      </w:r>
      <w:r>
        <w:t>11</w:t>
      </w:r>
      <w:r w:rsidR="002E0AC6">
        <w:t xml:space="preserve">% zbog </w:t>
      </w:r>
      <w:r>
        <w:t xml:space="preserve">smanjenja broja učenika što je smanjilo rashode za namirnice za školsku kuhinju. Do smanjenja rashoda je došlo i zbog toga što se od rujna 2022. godine u Školi provodi samo Shema voća i povrća. </w:t>
      </w:r>
    </w:p>
    <w:p w14:paraId="6955ADAB" w14:textId="77777777" w:rsidR="00B40869" w:rsidRDefault="00B40869" w:rsidP="001A16D4"/>
    <w:p w14:paraId="16F47594" w14:textId="2512E8B2" w:rsidR="00556D75" w:rsidRDefault="0047496F" w:rsidP="00556D75">
      <w:r>
        <w:t>0912 Osnovno obrazovanje su svi ostali rashodi proizašli iz redovnog poslovanja</w:t>
      </w:r>
      <w:r w:rsidR="004B2513">
        <w:t xml:space="preserve"> Škole. </w:t>
      </w:r>
    </w:p>
    <w:p w14:paraId="464309E9" w14:textId="77777777" w:rsidR="00A711F0" w:rsidRDefault="00A711F0" w:rsidP="00343648"/>
    <w:p w14:paraId="730F1DC0" w14:textId="77777777" w:rsidR="00A711F0" w:rsidRDefault="00A711F0" w:rsidP="00343648"/>
    <w:p w14:paraId="25F5376D" w14:textId="77777777" w:rsidR="00A711F0" w:rsidRDefault="00A711F0" w:rsidP="00343648"/>
    <w:p w14:paraId="4B5C20FF" w14:textId="77777777" w:rsidR="00A711F0" w:rsidRPr="00837FCA" w:rsidRDefault="00A711F0" w:rsidP="00837FCA">
      <w:pPr>
        <w:rPr>
          <w:b/>
          <w:bCs/>
        </w:rPr>
      </w:pPr>
      <w:r w:rsidRPr="00837FCA">
        <w:rPr>
          <w:b/>
          <w:bCs/>
        </w:rPr>
        <w:t>BILJEŠKE UZ IZVJEŠTAJ O OBVEZAMA</w:t>
      </w:r>
    </w:p>
    <w:p w14:paraId="286AACA8" w14:textId="5B41AB18" w:rsidR="00A711F0" w:rsidRPr="00935D20" w:rsidRDefault="00A711F0" w:rsidP="00A711F0">
      <w:pPr>
        <w:jc w:val="center"/>
      </w:pPr>
    </w:p>
    <w:p w14:paraId="7E7C03A3" w14:textId="77777777" w:rsidR="00A711F0" w:rsidRDefault="00A711F0" w:rsidP="00837FCA"/>
    <w:p w14:paraId="76A4908D" w14:textId="78D45B22" w:rsidR="005D1110" w:rsidRDefault="00556D75" w:rsidP="005D1110">
      <w:r>
        <w:t xml:space="preserve">Obveze na kraju obračunskog razdoblja </w:t>
      </w:r>
      <w:r w:rsidR="0073799A">
        <w:t>manje</w:t>
      </w:r>
      <w:r>
        <w:t xml:space="preserve"> su od prenesenih obveza iz 20</w:t>
      </w:r>
      <w:r w:rsidR="0073799A">
        <w:t>2</w:t>
      </w:r>
      <w:r w:rsidR="00F21BE4">
        <w:t>1</w:t>
      </w:r>
      <w:r>
        <w:t xml:space="preserve">. godine jer smo </w:t>
      </w:r>
      <w:r w:rsidR="0073799A">
        <w:t>na kraju 202</w:t>
      </w:r>
      <w:r w:rsidR="00F21BE4">
        <w:t>2</w:t>
      </w:r>
      <w:r w:rsidR="0073799A">
        <w:t>. godine podmirili veliki veći dio računa kako bi prenosili što manji metodološki manjak. Obveze na kraju izvještajnog razdoblja najvećim dijelom se odnose na obveze za zaposlene</w:t>
      </w:r>
      <w:r w:rsidR="00F21BE4">
        <w:t>. Na kraju obračunskog razdoblja Škola nema dospjelih obveza</w:t>
      </w:r>
    </w:p>
    <w:p w14:paraId="224A79AB" w14:textId="77777777" w:rsidR="005D1110" w:rsidRDefault="005D1110" w:rsidP="005D1110"/>
    <w:p w14:paraId="151AB71F" w14:textId="77777777" w:rsidR="00D429C3" w:rsidRDefault="00D429C3" w:rsidP="00D429C3"/>
    <w:p w14:paraId="3CEFE68C" w14:textId="77777777" w:rsidR="00D429C3" w:rsidRDefault="00D429C3" w:rsidP="00D429C3"/>
    <w:p w14:paraId="5A6C4ADF" w14:textId="52529F1F" w:rsidR="00D429C3" w:rsidRPr="00A860AE" w:rsidRDefault="00D429C3" w:rsidP="00A860AE">
      <w:pPr>
        <w:rPr>
          <w:b/>
          <w:bCs/>
        </w:rPr>
      </w:pPr>
      <w:r w:rsidRPr="00A860AE">
        <w:rPr>
          <w:b/>
          <w:bCs/>
        </w:rPr>
        <w:t xml:space="preserve">BILJEŠKE UZ IZVJEŠTAJ O PROMJENAMA U VRIJEDNOSTI </w:t>
      </w:r>
      <w:r w:rsidR="0073799A">
        <w:rPr>
          <w:b/>
          <w:bCs/>
        </w:rPr>
        <w:t>I OBUJMU IMOVINE I OBVEZA</w:t>
      </w:r>
    </w:p>
    <w:p w14:paraId="00E1A931" w14:textId="77777777" w:rsidR="00D429C3" w:rsidRDefault="00D429C3" w:rsidP="00D429C3">
      <w:pPr>
        <w:jc w:val="center"/>
      </w:pPr>
    </w:p>
    <w:p w14:paraId="46F03518" w14:textId="3ED65AE4" w:rsidR="002D168D" w:rsidRDefault="002D168D" w:rsidP="00A860AE"/>
    <w:p w14:paraId="7A61740F" w14:textId="23B0E228" w:rsidR="00A860AE" w:rsidRDefault="00F21BE4" w:rsidP="00A860AE">
      <w:r>
        <w:t xml:space="preserve">Povećanje u vrijednosti i obujmu imovine odnosi se na primljena dva prijenosna računala iz </w:t>
      </w:r>
      <w:proofErr w:type="spellStart"/>
      <w:r w:rsidR="0070500C">
        <w:t>Carneta</w:t>
      </w:r>
      <w:proofErr w:type="spellEnd"/>
      <w:r w:rsidR="0070500C">
        <w:t xml:space="preserve"> za pomoć kod učenja djece iz Ukrajine. </w:t>
      </w:r>
    </w:p>
    <w:p w14:paraId="53E0E3D5" w14:textId="6F4FFFBA" w:rsidR="0070500C" w:rsidRDefault="0070500C" w:rsidP="00A860AE">
      <w:r>
        <w:t xml:space="preserve">Iznos smanjenja </w:t>
      </w:r>
      <w:proofErr w:type="spellStart"/>
      <w:r>
        <w:t>neproizvedene</w:t>
      </w:r>
      <w:proofErr w:type="spellEnd"/>
      <w:r>
        <w:t xml:space="preserve"> dugotrajne imovine je prijenos zemljišta na kojem je bivša područna škola na Grad Koprivnicu. Iznos smanjenja proizvedene dugotrajne imovine odnosi se na prijenos zgrade područne škole na Grad Koprivnicu u svrhu proširenja vrtića, te prijenos opreme iz školske kuhinje u područnoj školi na vrtić.</w:t>
      </w:r>
    </w:p>
    <w:p w14:paraId="6B126313" w14:textId="6F1DAC74" w:rsidR="0070500C" w:rsidRDefault="0070500C" w:rsidP="00A860AE">
      <w:r>
        <w:t xml:space="preserve">Osim toga imali smo prijenos nabavljenih 82 prijenosna računala </w:t>
      </w:r>
      <w:r w:rsidR="00EA0BCA">
        <w:t>na novu Osnovnu školu „</w:t>
      </w:r>
      <w:proofErr w:type="spellStart"/>
      <w:r w:rsidR="00EA0BCA">
        <w:t>Podolice</w:t>
      </w:r>
      <w:proofErr w:type="spellEnd"/>
      <w:r w:rsidR="00EA0BCA">
        <w:t>“.</w:t>
      </w:r>
    </w:p>
    <w:p w14:paraId="10327CF5" w14:textId="77777777" w:rsidR="002D168D" w:rsidRDefault="002D168D" w:rsidP="00EA0BCA"/>
    <w:p w14:paraId="7BF0859D" w14:textId="77777777" w:rsidR="00D429C3" w:rsidRPr="00935D20" w:rsidRDefault="00D429C3" w:rsidP="00D429C3">
      <w:pPr>
        <w:jc w:val="center"/>
      </w:pPr>
    </w:p>
    <w:p w14:paraId="5542C43B" w14:textId="47E416C2" w:rsidR="002D168D" w:rsidRDefault="002D168D" w:rsidP="002D168D">
      <w:r w:rsidRPr="00935D20">
        <w:t xml:space="preserve">U Koprivnici,  </w:t>
      </w:r>
      <w:r w:rsidR="00EA0BCA">
        <w:t>31</w:t>
      </w:r>
      <w:r w:rsidRPr="00935D20">
        <w:t>. siječnja</w:t>
      </w:r>
      <w:r w:rsidR="00A860AE">
        <w:t xml:space="preserve"> </w:t>
      </w:r>
      <w:r w:rsidRPr="00935D20">
        <w:t xml:space="preserve"> 20</w:t>
      </w:r>
      <w:r>
        <w:t>2</w:t>
      </w:r>
      <w:r w:rsidR="00EA0BCA">
        <w:t>3</w:t>
      </w:r>
      <w:r w:rsidRPr="00935D20">
        <w:t>.</w:t>
      </w:r>
    </w:p>
    <w:p w14:paraId="154C83B9" w14:textId="77777777" w:rsidR="002D168D" w:rsidRDefault="002D168D" w:rsidP="002D168D"/>
    <w:p w14:paraId="3365FD3D" w14:textId="77777777" w:rsidR="002D168D" w:rsidRDefault="002D168D" w:rsidP="002D168D"/>
    <w:p w14:paraId="6AB0ED5E" w14:textId="77777777" w:rsidR="002D168D" w:rsidRPr="00935D20" w:rsidRDefault="002D168D" w:rsidP="002D168D">
      <w:r>
        <w:t>voditeljica računovodstva</w:t>
      </w:r>
      <w:r w:rsidRPr="00935D20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14:paraId="7B19680F" w14:textId="29A765EB" w:rsidR="00D429C3" w:rsidRPr="00935D20" w:rsidRDefault="002D168D" w:rsidP="005D1110">
      <w:r w:rsidRPr="00935D20">
        <w:t>Mirjana Kolarek</w:t>
      </w:r>
      <w:r>
        <w:t xml:space="preserve">, </w:t>
      </w:r>
      <w:proofErr w:type="spellStart"/>
      <w:r>
        <w:t>dipl.oec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mr. Sanja Prelogovi</w:t>
      </w:r>
      <w:r w:rsidR="00B1206E">
        <w:t>ć</w:t>
      </w:r>
    </w:p>
    <w:sectPr w:rsidR="00D429C3" w:rsidRPr="00935D20" w:rsidSect="00FE40A7">
      <w:footnotePr>
        <w:pos w:val="beneathText"/>
      </w:footnotePr>
      <w:pgSz w:w="11905" w:h="16837"/>
      <w:pgMar w:top="1417" w:right="1417" w:bottom="1417" w:left="1417" w:header="1417" w:footer="14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BFB"/>
    <w:multiLevelType w:val="hybridMultilevel"/>
    <w:tmpl w:val="C8969F9E"/>
    <w:lvl w:ilvl="0" w:tplc="BF1C43A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20BD5"/>
    <w:multiLevelType w:val="hybridMultilevel"/>
    <w:tmpl w:val="1944AA4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A774F1"/>
    <w:multiLevelType w:val="hybridMultilevel"/>
    <w:tmpl w:val="06400A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9DD"/>
    <w:multiLevelType w:val="hybridMultilevel"/>
    <w:tmpl w:val="222EA1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9299D"/>
    <w:multiLevelType w:val="hybridMultilevel"/>
    <w:tmpl w:val="E4B0B15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7694B57"/>
    <w:multiLevelType w:val="hybridMultilevel"/>
    <w:tmpl w:val="24B22D08"/>
    <w:lvl w:ilvl="0" w:tplc="0BAC44A0">
      <w:start w:val="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E74E6F"/>
    <w:multiLevelType w:val="hybridMultilevel"/>
    <w:tmpl w:val="754C5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31222">
    <w:abstractNumId w:val="1"/>
  </w:num>
  <w:num w:numId="2" w16cid:durableId="67461984">
    <w:abstractNumId w:val="4"/>
  </w:num>
  <w:num w:numId="3" w16cid:durableId="211968515">
    <w:abstractNumId w:val="2"/>
  </w:num>
  <w:num w:numId="4" w16cid:durableId="6686599">
    <w:abstractNumId w:val="3"/>
  </w:num>
  <w:num w:numId="5" w16cid:durableId="1983385864">
    <w:abstractNumId w:val="5"/>
  </w:num>
  <w:num w:numId="6" w16cid:durableId="928348868">
    <w:abstractNumId w:val="0"/>
  </w:num>
  <w:num w:numId="7" w16cid:durableId="473958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BE"/>
    <w:rsid w:val="00006935"/>
    <w:rsid w:val="00014764"/>
    <w:rsid w:val="0004014A"/>
    <w:rsid w:val="00041FDC"/>
    <w:rsid w:val="00042FFB"/>
    <w:rsid w:val="00043150"/>
    <w:rsid w:val="0005337E"/>
    <w:rsid w:val="0005688B"/>
    <w:rsid w:val="000606B9"/>
    <w:rsid w:val="00070AD5"/>
    <w:rsid w:val="00070F64"/>
    <w:rsid w:val="00075FA8"/>
    <w:rsid w:val="0009111D"/>
    <w:rsid w:val="00093E94"/>
    <w:rsid w:val="000C456F"/>
    <w:rsid w:val="000C6AAA"/>
    <w:rsid w:val="000C6ABC"/>
    <w:rsid w:val="000D09C6"/>
    <w:rsid w:val="000D1B1A"/>
    <w:rsid w:val="000D5F64"/>
    <w:rsid w:val="000D7C87"/>
    <w:rsid w:val="000E71B2"/>
    <w:rsid w:val="00134CCE"/>
    <w:rsid w:val="001457E9"/>
    <w:rsid w:val="00146360"/>
    <w:rsid w:val="00152710"/>
    <w:rsid w:val="00155F78"/>
    <w:rsid w:val="001721A7"/>
    <w:rsid w:val="00180E9E"/>
    <w:rsid w:val="00183F90"/>
    <w:rsid w:val="00184535"/>
    <w:rsid w:val="00190287"/>
    <w:rsid w:val="00190A8F"/>
    <w:rsid w:val="00192A1C"/>
    <w:rsid w:val="001A16D4"/>
    <w:rsid w:val="001B2911"/>
    <w:rsid w:val="001B3672"/>
    <w:rsid w:val="001D05B1"/>
    <w:rsid w:val="001D1042"/>
    <w:rsid w:val="001E18FC"/>
    <w:rsid w:val="001F7D2C"/>
    <w:rsid w:val="00206C76"/>
    <w:rsid w:val="00210FC1"/>
    <w:rsid w:val="00217D1E"/>
    <w:rsid w:val="00223698"/>
    <w:rsid w:val="00225A5F"/>
    <w:rsid w:val="00234474"/>
    <w:rsid w:val="00235D18"/>
    <w:rsid w:val="00235F9B"/>
    <w:rsid w:val="00237F48"/>
    <w:rsid w:val="00253397"/>
    <w:rsid w:val="002547D7"/>
    <w:rsid w:val="00255F96"/>
    <w:rsid w:val="00263CEB"/>
    <w:rsid w:val="002644AD"/>
    <w:rsid w:val="00267243"/>
    <w:rsid w:val="00283B2C"/>
    <w:rsid w:val="002A49C2"/>
    <w:rsid w:val="002A5822"/>
    <w:rsid w:val="002A75DB"/>
    <w:rsid w:val="002D0B27"/>
    <w:rsid w:val="002D1381"/>
    <w:rsid w:val="002D168D"/>
    <w:rsid w:val="002E0AC6"/>
    <w:rsid w:val="002E7A58"/>
    <w:rsid w:val="002F234A"/>
    <w:rsid w:val="00304585"/>
    <w:rsid w:val="00306B1C"/>
    <w:rsid w:val="003168D8"/>
    <w:rsid w:val="003224D9"/>
    <w:rsid w:val="003301CC"/>
    <w:rsid w:val="003302C9"/>
    <w:rsid w:val="00335FD9"/>
    <w:rsid w:val="00337AEB"/>
    <w:rsid w:val="003416A2"/>
    <w:rsid w:val="00343648"/>
    <w:rsid w:val="00351865"/>
    <w:rsid w:val="00357BF0"/>
    <w:rsid w:val="00367E13"/>
    <w:rsid w:val="00370485"/>
    <w:rsid w:val="00373A69"/>
    <w:rsid w:val="00375F41"/>
    <w:rsid w:val="0037705D"/>
    <w:rsid w:val="0038136B"/>
    <w:rsid w:val="00382070"/>
    <w:rsid w:val="00391035"/>
    <w:rsid w:val="003A5D4E"/>
    <w:rsid w:val="003C19A3"/>
    <w:rsid w:val="003C4E3A"/>
    <w:rsid w:val="003D0FA3"/>
    <w:rsid w:val="003D138D"/>
    <w:rsid w:val="003F5865"/>
    <w:rsid w:val="004044C1"/>
    <w:rsid w:val="00412B63"/>
    <w:rsid w:val="004319E4"/>
    <w:rsid w:val="0044068A"/>
    <w:rsid w:val="00461DDB"/>
    <w:rsid w:val="0046534E"/>
    <w:rsid w:val="004667E3"/>
    <w:rsid w:val="0047496F"/>
    <w:rsid w:val="00491679"/>
    <w:rsid w:val="004A46F1"/>
    <w:rsid w:val="004B2513"/>
    <w:rsid w:val="004B5759"/>
    <w:rsid w:val="004C06E1"/>
    <w:rsid w:val="004C2570"/>
    <w:rsid w:val="004C438B"/>
    <w:rsid w:val="004C4BBF"/>
    <w:rsid w:val="004C53F5"/>
    <w:rsid w:val="004D0DBE"/>
    <w:rsid w:val="004D304C"/>
    <w:rsid w:val="004D69BB"/>
    <w:rsid w:val="004E7767"/>
    <w:rsid w:val="004F739B"/>
    <w:rsid w:val="0051361F"/>
    <w:rsid w:val="005151E3"/>
    <w:rsid w:val="005153EC"/>
    <w:rsid w:val="00517A78"/>
    <w:rsid w:val="00521552"/>
    <w:rsid w:val="00521AB8"/>
    <w:rsid w:val="0052432E"/>
    <w:rsid w:val="005312DD"/>
    <w:rsid w:val="00531F93"/>
    <w:rsid w:val="00536D69"/>
    <w:rsid w:val="005400C1"/>
    <w:rsid w:val="00541374"/>
    <w:rsid w:val="005452BA"/>
    <w:rsid w:val="00550259"/>
    <w:rsid w:val="005558FF"/>
    <w:rsid w:val="00556D75"/>
    <w:rsid w:val="00560772"/>
    <w:rsid w:val="00560A3B"/>
    <w:rsid w:val="005624A9"/>
    <w:rsid w:val="005728EA"/>
    <w:rsid w:val="0057382F"/>
    <w:rsid w:val="00575268"/>
    <w:rsid w:val="00575396"/>
    <w:rsid w:val="005824CB"/>
    <w:rsid w:val="00584E5E"/>
    <w:rsid w:val="00587B0E"/>
    <w:rsid w:val="00591B81"/>
    <w:rsid w:val="00593511"/>
    <w:rsid w:val="005A0251"/>
    <w:rsid w:val="005A3B2C"/>
    <w:rsid w:val="005A4A9B"/>
    <w:rsid w:val="005B1F51"/>
    <w:rsid w:val="005B4E15"/>
    <w:rsid w:val="005C1281"/>
    <w:rsid w:val="005C17E7"/>
    <w:rsid w:val="005D1110"/>
    <w:rsid w:val="005F56A5"/>
    <w:rsid w:val="00614F44"/>
    <w:rsid w:val="00617AB7"/>
    <w:rsid w:val="006212BC"/>
    <w:rsid w:val="00632422"/>
    <w:rsid w:val="00640035"/>
    <w:rsid w:val="006533E7"/>
    <w:rsid w:val="006549F6"/>
    <w:rsid w:val="00656AEE"/>
    <w:rsid w:val="006658BB"/>
    <w:rsid w:val="00667138"/>
    <w:rsid w:val="00691F0B"/>
    <w:rsid w:val="0069430B"/>
    <w:rsid w:val="006A4299"/>
    <w:rsid w:val="006B2C3C"/>
    <w:rsid w:val="006C1DBB"/>
    <w:rsid w:val="006E0452"/>
    <w:rsid w:val="006E06BF"/>
    <w:rsid w:val="0070054A"/>
    <w:rsid w:val="00704036"/>
    <w:rsid w:val="0070500C"/>
    <w:rsid w:val="007053A3"/>
    <w:rsid w:val="00710F16"/>
    <w:rsid w:val="007162F9"/>
    <w:rsid w:val="0072272C"/>
    <w:rsid w:val="007339DD"/>
    <w:rsid w:val="0073799A"/>
    <w:rsid w:val="00752EB6"/>
    <w:rsid w:val="00772253"/>
    <w:rsid w:val="00772E0C"/>
    <w:rsid w:val="00785B63"/>
    <w:rsid w:val="007A029B"/>
    <w:rsid w:val="007A3E00"/>
    <w:rsid w:val="007A47EE"/>
    <w:rsid w:val="007B4FAA"/>
    <w:rsid w:val="007C4E7B"/>
    <w:rsid w:val="007D26C7"/>
    <w:rsid w:val="007E64F1"/>
    <w:rsid w:val="0080118C"/>
    <w:rsid w:val="00813C1A"/>
    <w:rsid w:val="00825C9D"/>
    <w:rsid w:val="0083002D"/>
    <w:rsid w:val="00837FCA"/>
    <w:rsid w:val="00840929"/>
    <w:rsid w:val="00845D88"/>
    <w:rsid w:val="00852490"/>
    <w:rsid w:val="00861847"/>
    <w:rsid w:val="00867441"/>
    <w:rsid w:val="0086758D"/>
    <w:rsid w:val="00884337"/>
    <w:rsid w:val="008A0464"/>
    <w:rsid w:val="008B688C"/>
    <w:rsid w:val="008D566A"/>
    <w:rsid w:val="008D79C4"/>
    <w:rsid w:val="008E06EB"/>
    <w:rsid w:val="008F0DFD"/>
    <w:rsid w:val="009030A9"/>
    <w:rsid w:val="00912811"/>
    <w:rsid w:val="00917D7C"/>
    <w:rsid w:val="0092286F"/>
    <w:rsid w:val="009357EE"/>
    <w:rsid w:val="00935D20"/>
    <w:rsid w:val="00960832"/>
    <w:rsid w:val="0096622C"/>
    <w:rsid w:val="009758B2"/>
    <w:rsid w:val="0097676C"/>
    <w:rsid w:val="0097680B"/>
    <w:rsid w:val="00980919"/>
    <w:rsid w:val="00985FDE"/>
    <w:rsid w:val="009C6D94"/>
    <w:rsid w:val="009D03D0"/>
    <w:rsid w:val="009D187D"/>
    <w:rsid w:val="009D4F2E"/>
    <w:rsid w:val="009F7ECB"/>
    <w:rsid w:val="00A0362F"/>
    <w:rsid w:val="00A050ED"/>
    <w:rsid w:val="00A2547A"/>
    <w:rsid w:val="00A25486"/>
    <w:rsid w:val="00A362CC"/>
    <w:rsid w:val="00A37272"/>
    <w:rsid w:val="00A41F04"/>
    <w:rsid w:val="00A45AB3"/>
    <w:rsid w:val="00A5301A"/>
    <w:rsid w:val="00A543E0"/>
    <w:rsid w:val="00A66226"/>
    <w:rsid w:val="00A7095A"/>
    <w:rsid w:val="00A711F0"/>
    <w:rsid w:val="00A83881"/>
    <w:rsid w:val="00A860AE"/>
    <w:rsid w:val="00A92BED"/>
    <w:rsid w:val="00A93BD3"/>
    <w:rsid w:val="00AA15EC"/>
    <w:rsid w:val="00AC0437"/>
    <w:rsid w:val="00AD32D8"/>
    <w:rsid w:val="00AD4A7E"/>
    <w:rsid w:val="00AE112C"/>
    <w:rsid w:val="00AE7385"/>
    <w:rsid w:val="00AE7DC6"/>
    <w:rsid w:val="00AF2A07"/>
    <w:rsid w:val="00AF40F4"/>
    <w:rsid w:val="00B00E1B"/>
    <w:rsid w:val="00B1206E"/>
    <w:rsid w:val="00B22BF7"/>
    <w:rsid w:val="00B269F4"/>
    <w:rsid w:val="00B40869"/>
    <w:rsid w:val="00B6061A"/>
    <w:rsid w:val="00B61C9E"/>
    <w:rsid w:val="00B61F02"/>
    <w:rsid w:val="00B70051"/>
    <w:rsid w:val="00B715D1"/>
    <w:rsid w:val="00B72841"/>
    <w:rsid w:val="00B83A06"/>
    <w:rsid w:val="00B86C6D"/>
    <w:rsid w:val="00BB6487"/>
    <w:rsid w:val="00BC6F06"/>
    <w:rsid w:val="00BD4953"/>
    <w:rsid w:val="00BD5E46"/>
    <w:rsid w:val="00BD7887"/>
    <w:rsid w:val="00BE2F58"/>
    <w:rsid w:val="00BE418D"/>
    <w:rsid w:val="00BE668E"/>
    <w:rsid w:val="00BF2653"/>
    <w:rsid w:val="00C01251"/>
    <w:rsid w:val="00C06A3D"/>
    <w:rsid w:val="00C06D12"/>
    <w:rsid w:val="00C20221"/>
    <w:rsid w:val="00C20A16"/>
    <w:rsid w:val="00C22D63"/>
    <w:rsid w:val="00C231EA"/>
    <w:rsid w:val="00C26110"/>
    <w:rsid w:val="00C33499"/>
    <w:rsid w:val="00C372D2"/>
    <w:rsid w:val="00C411DB"/>
    <w:rsid w:val="00C43F49"/>
    <w:rsid w:val="00C55D1F"/>
    <w:rsid w:val="00C70FD9"/>
    <w:rsid w:val="00C76472"/>
    <w:rsid w:val="00C77023"/>
    <w:rsid w:val="00C87EAA"/>
    <w:rsid w:val="00C92295"/>
    <w:rsid w:val="00C94A51"/>
    <w:rsid w:val="00CA0B19"/>
    <w:rsid w:val="00CA2F4E"/>
    <w:rsid w:val="00CB47D8"/>
    <w:rsid w:val="00CB7BE5"/>
    <w:rsid w:val="00CD2395"/>
    <w:rsid w:val="00CD4550"/>
    <w:rsid w:val="00CE2BB4"/>
    <w:rsid w:val="00CF054C"/>
    <w:rsid w:val="00CF30B6"/>
    <w:rsid w:val="00D01BC4"/>
    <w:rsid w:val="00D0460D"/>
    <w:rsid w:val="00D13D2E"/>
    <w:rsid w:val="00D20D86"/>
    <w:rsid w:val="00D270C3"/>
    <w:rsid w:val="00D36EA4"/>
    <w:rsid w:val="00D429C3"/>
    <w:rsid w:val="00D55B4E"/>
    <w:rsid w:val="00D75FF2"/>
    <w:rsid w:val="00D76028"/>
    <w:rsid w:val="00D778B6"/>
    <w:rsid w:val="00DA0D73"/>
    <w:rsid w:val="00DA2166"/>
    <w:rsid w:val="00DA27BD"/>
    <w:rsid w:val="00DC59FB"/>
    <w:rsid w:val="00DD1B74"/>
    <w:rsid w:val="00DD6996"/>
    <w:rsid w:val="00DE4F0A"/>
    <w:rsid w:val="00E062A9"/>
    <w:rsid w:val="00E13A0B"/>
    <w:rsid w:val="00E234CC"/>
    <w:rsid w:val="00E2476B"/>
    <w:rsid w:val="00E27DC6"/>
    <w:rsid w:val="00E37C4A"/>
    <w:rsid w:val="00E462A0"/>
    <w:rsid w:val="00E51F41"/>
    <w:rsid w:val="00E64455"/>
    <w:rsid w:val="00E67991"/>
    <w:rsid w:val="00E7016F"/>
    <w:rsid w:val="00E81D3A"/>
    <w:rsid w:val="00E83BE3"/>
    <w:rsid w:val="00E850C9"/>
    <w:rsid w:val="00E87A0C"/>
    <w:rsid w:val="00E91DEC"/>
    <w:rsid w:val="00E95AF5"/>
    <w:rsid w:val="00E970AA"/>
    <w:rsid w:val="00EA0BCA"/>
    <w:rsid w:val="00EA4849"/>
    <w:rsid w:val="00EB56FB"/>
    <w:rsid w:val="00EB6E4C"/>
    <w:rsid w:val="00EC2430"/>
    <w:rsid w:val="00EE6D36"/>
    <w:rsid w:val="00EF6833"/>
    <w:rsid w:val="00EF6B70"/>
    <w:rsid w:val="00F055B6"/>
    <w:rsid w:val="00F05B3A"/>
    <w:rsid w:val="00F21BE4"/>
    <w:rsid w:val="00F259A6"/>
    <w:rsid w:val="00F35ED0"/>
    <w:rsid w:val="00F41AF6"/>
    <w:rsid w:val="00F46BAB"/>
    <w:rsid w:val="00F53C1F"/>
    <w:rsid w:val="00F60B01"/>
    <w:rsid w:val="00F711DE"/>
    <w:rsid w:val="00F74DDA"/>
    <w:rsid w:val="00F878C4"/>
    <w:rsid w:val="00F974AC"/>
    <w:rsid w:val="00FB79EA"/>
    <w:rsid w:val="00FC4EC3"/>
    <w:rsid w:val="00FE1371"/>
    <w:rsid w:val="00FE40A7"/>
    <w:rsid w:val="00FE5E7F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AD6473"/>
  <w15:chartTrackingRefBased/>
  <w15:docId w15:val="{E472D471-13B8-4B6E-9763-51B18E03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C"/>
    <w:pPr>
      <w:suppressAutoHyphens/>
    </w:pPr>
    <w:rPr>
      <w:sz w:val="24"/>
      <w:szCs w:val="24"/>
      <w:lang w:val="hr-HR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FE40A7"/>
  </w:style>
  <w:style w:type="character" w:customStyle="1" w:styleId="WW-Absatz-Standardschriftart">
    <w:name w:val="WW-Absatz-Standardschriftart"/>
    <w:rsid w:val="00FE40A7"/>
  </w:style>
  <w:style w:type="character" w:customStyle="1" w:styleId="WW8Num2z0">
    <w:name w:val="WW8Num2z0"/>
    <w:rsid w:val="00FE40A7"/>
    <w:rPr>
      <w:rFonts w:ascii="Tahoma" w:hAnsi="Tahoma"/>
    </w:rPr>
  </w:style>
  <w:style w:type="character" w:customStyle="1" w:styleId="WW8Num2z1">
    <w:name w:val="WW8Num2z1"/>
    <w:rsid w:val="00FE40A7"/>
    <w:rPr>
      <w:rFonts w:ascii="Courier New" w:hAnsi="Courier New"/>
    </w:rPr>
  </w:style>
  <w:style w:type="character" w:customStyle="1" w:styleId="WW8Num2z2">
    <w:name w:val="WW8Num2z2"/>
    <w:rsid w:val="00FE40A7"/>
    <w:rPr>
      <w:rFonts w:ascii="Wingdings" w:hAnsi="Wingdings"/>
    </w:rPr>
  </w:style>
  <w:style w:type="character" w:customStyle="1" w:styleId="WW8Num2z3">
    <w:name w:val="WW8Num2z3"/>
    <w:rsid w:val="00FE40A7"/>
    <w:rPr>
      <w:rFonts w:ascii="Symbol" w:hAnsi="Symbol"/>
    </w:rPr>
  </w:style>
  <w:style w:type="character" w:customStyle="1" w:styleId="WW8Num3z0">
    <w:name w:val="WW8Num3z0"/>
    <w:rsid w:val="00FE40A7"/>
    <w:rPr>
      <w:rFonts w:ascii="Times New Roman" w:hAnsi="Times New Roman"/>
    </w:rPr>
  </w:style>
  <w:style w:type="character" w:customStyle="1" w:styleId="WW8Num3z1">
    <w:name w:val="WW8Num3z1"/>
    <w:rsid w:val="00FE40A7"/>
    <w:rPr>
      <w:rFonts w:ascii="Courier New" w:hAnsi="Courier New"/>
    </w:rPr>
  </w:style>
  <w:style w:type="character" w:customStyle="1" w:styleId="WW8Num3z2">
    <w:name w:val="WW8Num3z2"/>
    <w:rsid w:val="00FE40A7"/>
    <w:rPr>
      <w:rFonts w:ascii="Wingdings" w:hAnsi="Wingdings"/>
    </w:rPr>
  </w:style>
  <w:style w:type="character" w:customStyle="1" w:styleId="WW8Num3z3">
    <w:name w:val="WW8Num3z3"/>
    <w:rsid w:val="00FE40A7"/>
    <w:rPr>
      <w:rFonts w:ascii="Symbol" w:hAnsi="Symbol"/>
    </w:rPr>
  </w:style>
  <w:style w:type="character" w:customStyle="1" w:styleId="Zadanifontodlomka1">
    <w:name w:val="Zadani font odlomka1"/>
    <w:rsid w:val="00FE40A7"/>
  </w:style>
  <w:style w:type="paragraph" w:customStyle="1" w:styleId="Naslov1">
    <w:name w:val="Naslov1"/>
    <w:basedOn w:val="Normal"/>
    <w:next w:val="Tijeloteksta"/>
    <w:rsid w:val="00FE40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ijeloteksta">
    <w:name w:val="Body Text"/>
    <w:basedOn w:val="Normal"/>
    <w:rsid w:val="00FE40A7"/>
    <w:pPr>
      <w:spacing w:after="120"/>
    </w:pPr>
  </w:style>
  <w:style w:type="paragraph" w:styleId="Popis">
    <w:name w:val="List"/>
    <w:basedOn w:val="Tijeloteksta"/>
    <w:rsid w:val="00FE40A7"/>
    <w:rPr>
      <w:rFonts w:ascii="Tahoma" w:hAnsi="Tahoma" w:cs="Tahoma"/>
    </w:rPr>
  </w:style>
  <w:style w:type="paragraph" w:customStyle="1" w:styleId="Opis">
    <w:name w:val="Opis"/>
    <w:basedOn w:val="Normal"/>
    <w:rsid w:val="00FE40A7"/>
    <w:pPr>
      <w:suppressLineNumbers/>
      <w:spacing w:before="120" w:after="120"/>
    </w:pPr>
    <w:rPr>
      <w:rFonts w:ascii="Tahoma" w:hAnsi="Tahoma" w:cs="Tahoma"/>
      <w:i/>
      <w:iCs/>
    </w:rPr>
  </w:style>
  <w:style w:type="paragraph" w:customStyle="1" w:styleId="Indeks">
    <w:name w:val="Indeks"/>
    <w:basedOn w:val="Normal"/>
    <w:rsid w:val="00FE40A7"/>
    <w:pPr>
      <w:suppressLineNumbers/>
    </w:pPr>
    <w:rPr>
      <w:rFonts w:ascii="Tahoma" w:hAnsi="Tahoma" w:cs="Tahoma"/>
    </w:rPr>
  </w:style>
  <w:style w:type="character" w:styleId="Istaknuto">
    <w:name w:val="Emphasis"/>
    <w:qFormat/>
    <w:rsid w:val="00E062A9"/>
    <w:rPr>
      <w:rFonts w:cs="Times New Roman"/>
      <w:i/>
      <w:iCs/>
    </w:rPr>
  </w:style>
  <w:style w:type="character" w:styleId="Naglaeno">
    <w:name w:val="Strong"/>
    <w:qFormat/>
    <w:rsid w:val="00F41AF6"/>
    <w:rPr>
      <w:rFonts w:cs="Times New Roman"/>
      <w:b/>
      <w:bCs/>
    </w:rPr>
  </w:style>
  <w:style w:type="table" w:styleId="Reetkatablice">
    <w:name w:val="Table Grid"/>
    <w:basedOn w:val="Obinatablica"/>
    <w:rsid w:val="005558FF"/>
    <w:rPr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popisa1">
    <w:name w:val="Odlomak popisa1"/>
    <w:basedOn w:val="Normal"/>
    <w:rsid w:val="008B688C"/>
    <w:pPr>
      <w:ind w:left="708"/>
    </w:pPr>
  </w:style>
  <w:style w:type="paragraph" w:styleId="Odlomakpopisa">
    <w:name w:val="List Paragraph"/>
    <w:basedOn w:val="Normal"/>
    <w:uiPriority w:val="34"/>
    <w:qFormat/>
    <w:rsid w:val="00C43F49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9D4F2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9D4F2E"/>
    <w:rPr>
      <w:rFonts w:ascii="Segoe UI" w:hAnsi="Segoe UI" w:cs="Segoe UI"/>
      <w:sz w:val="18"/>
      <w:szCs w:val="18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8</Pages>
  <Words>2274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RAZDJEL:                  080</vt:lpstr>
    </vt:vector>
  </TitlesOfParts>
  <Company>Škola</Company>
  <LinksUpToDate>false</LinksUpToDate>
  <CharactersWithSpaces>15123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RAZDJEL:                  080</dc:title>
  <dc:subject/>
  <dc:creator>OŠ Đuro Ester</dc:creator>
  <cp:keywords/>
  <dc:description/>
  <cp:lastModifiedBy>Mirjana Kolarek</cp:lastModifiedBy>
  <cp:revision>9</cp:revision>
  <cp:lastPrinted>2023-01-31T08:45:00Z</cp:lastPrinted>
  <dcterms:created xsi:type="dcterms:W3CDTF">2023-01-30T14:31:00Z</dcterms:created>
  <dcterms:modified xsi:type="dcterms:W3CDTF">2023-01-31T13:41:00Z</dcterms:modified>
</cp:coreProperties>
</file>